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hd w:fill="F5F5F5" w:color="auto" w:val="clear"/>
        <w:spacing w:before="0" w:after="280"/>
        <w:ind w:left="200" w:right="200"/>
      </w:pPr>
      <w:r>
        <w:rPr>
          <w:rFonts w:ascii="Arial" w:cs="Arial" w:eastAsia="Arial" w:hAnsi="Arial"/>
          <w:b/>
          <w:bCs/>
          <w:color w:val="555555"/>
          <w:sz w:val="16"/>
          <w:szCs w:val="16"/>
        </w:rPr>
        <w:t xml:space="preserve">AI-Generated Content</w:t>
      </w:r>
      <w:r>
        <w:rPr>
          <w:rFonts w:ascii="Arial" w:cs="Arial" w:eastAsia="Arial" w:hAnsi="Arial"/>
          <w:color w:val="555555"/>
          <w:sz w:val="16"/>
          <w:szCs w:val="16"/>
        </w:rPr>
        <w:t xml:space="preserve"> — This document was created by Hannah Agent, an AI system developed by Plan.Net Studios (Serviceplan Group), operating autonomously without human review or oversight. All data, analysis, and recommendations should be independently verified before taking action.</w:t>
      </w:r>
    </w:p>
    <w:p>
      <w:pPr>
        <w:spacing w:before="480" w:after="160"/>
      </w:pPr>
      <w:r>
        <w:rPr>
          <w:rFonts w:ascii="Arial" w:cs="Arial" w:eastAsia="Arial" w:hAnsi="Arial"/>
          <w:b/>
          <w:bCs/>
          <w:color w:val="0F6B72"/>
          <w:sz w:val="18"/>
          <w:szCs w:val="18"/>
        </w:rPr>
        <w:t xml:space="preserve">LANDING PAGE BRIEF</w:t>
      </w:r>
    </w:p>
    <w:p>
      <w:pPr>
        <w:spacing w:before="0" w:after="160"/>
      </w:pPr>
      <w:r>
        <w:rPr>
          <w:rFonts w:ascii="Arial Black" w:cs="Arial Black" w:eastAsia="Arial Black" w:hAnsi="Arial Black"/>
          <w:b/>
          <w:bCs/>
          <w:color w:val="1A1A1A"/>
          <w:sz w:val="56"/>
          <w:szCs w:val="56"/>
        </w:rPr>
        <w:t xml:space="preserve">Teufel Soundbar — Seasonal Promotion</w:t>
      </w:r>
    </w:p>
    <w:p>
      <w:pPr>
        <w:spacing w:before="0" w:after="400"/>
      </w:pPr>
      <w:r>
        <w:rPr>
          <w:rFonts w:ascii="Arial" w:cs="Arial" w:eastAsia="Arial" w:hAnsi="Arial"/>
          <w:color w:val="555555"/>
          <w:sz w:val="22"/>
          <w:szCs w:val="22"/>
        </w:rPr>
        <w:t xml:space="preserve">DACH Market | Mid-Range (€200–€500) | Conversion Brief for Designer/Developer</w:t>
      </w:r>
    </w:p>
    <w:p>
      <w:pPr>
        <w:pBdr>
          <w:top w:val="single" w:color="0F6B72" w:sz="12"/>
        </w:pBdr>
        <w:spacing w:before="0" w:after="400"/>
      </w:pPr>
    </w:p>
    <w:p>
      <w:pPr>
        <w:shd w:fill="D0EAEC" w:color="auto" w:val="clear"/>
        <w:spacing w:before="160" w:after="80"/>
        <w:ind w:left="360" w:right="360"/>
      </w:pPr>
      <w:r>
        <w:rPr>
          <w:rFonts w:ascii="Arial" w:cs="Arial" w:eastAsia="Arial" w:hAnsi="Arial"/>
          <w:b/>
          <w:bCs/>
          <w:color w:val="0A4A4E"/>
          <w:sz w:val="22"/>
          <w:szCs w:val="22"/>
        </w:rPr>
        <w:t xml:space="preserve">What this brief covers</w:t>
      </w:r>
    </w:p>
    <w:p>
      <w:pPr>
        <w:pStyle w:val="ListParagraph"/>
        <w:numPr>
          <w:ilvl w:val="0"/>
          <w:numId w:val="2"/>
        </w:numPr>
        <w:shd w:fill="D0EAEC" w:color="auto" w:val="clear"/>
        <w:spacing w:before="40" w:after="60"/>
      </w:pPr>
      <w:r>
        <w:rPr>
          <w:rFonts w:ascii="Arial" w:cs="Arial" w:eastAsia="Arial" w:hAnsi="Arial"/>
          <w:color w:val="0A4A4E"/>
          <w:sz w:val="21"/>
          <w:szCs w:val="21"/>
        </w:rPr>
        <w:t xml:space="preserve">Teardown of 4 competitor landing pages (Bose, Sonos, Samsung, JBL) — structure, messaging, offer framing, CTAs</w:t>
      </w:r>
    </w:p>
    <w:p>
      <w:pPr>
        <w:pStyle w:val="ListParagraph"/>
        <w:numPr>
          <w:ilvl w:val="0"/>
          <w:numId w:val="2"/>
        </w:numPr>
        <w:shd w:fill="D0EAEC" w:color="auto" w:val="clear"/>
        <w:spacing w:before="40" w:after="60"/>
      </w:pPr>
      <w:r>
        <w:rPr>
          <w:rFonts w:ascii="Arial" w:cs="Arial" w:eastAsia="Arial" w:hAnsi="Arial"/>
          <w:color w:val="0A4A4E"/>
          <w:sz w:val="21"/>
          <w:szCs w:val="21"/>
        </w:rPr>
        <w:t xml:space="preserve">What converts for this buyer: the hooks, proof points, trust signals, and objections that matter in DACH</w:t>
      </w:r>
    </w:p>
    <w:p>
      <w:pPr>
        <w:pStyle w:val="ListParagraph"/>
        <w:numPr>
          <w:ilvl w:val="0"/>
          <w:numId w:val="2"/>
        </w:numPr>
        <w:shd w:fill="D0EAEC" w:color="auto" w:val="clear"/>
        <w:spacing w:before="40" w:after="60"/>
      </w:pPr>
      <w:r>
        <w:rPr>
          <w:rFonts w:ascii="Arial" w:cs="Arial" w:eastAsia="Arial" w:hAnsi="Arial"/>
          <w:color w:val="0A4A4E"/>
          <w:sz w:val="21"/>
          <w:szCs w:val="21"/>
        </w:rPr>
        <w:t xml:space="preserve">Recommended page structure, section by section, with the argument for each</w:t>
      </w:r>
    </w:p>
    <w:p>
      <w:pPr>
        <w:pStyle w:val="ListParagraph"/>
        <w:numPr>
          <w:ilvl w:val="0"/>
          <w:numId w:val="2"/>
        </w:numPr>
        <w:shd w:fill="D0EAEC" w:color="auto" w:val="clear"/>
        <w:spacing w:before="40" w:after="60"/>
      </w:pPr>
      <w:r>
        <w:rPr>
          <w:rFonts w:ascii="Arial" w:cs="Arial" w:eastAsia="Arial" w:hAnsi="Arial"/>
          <w:color w:val="0A4A4E"/>
          <w:sz w:val="21"/>
          <w:szCs w:val="21"/>
        </w:rPr>
        <w:t xml:space="preserve">Copy direction: headline options, key messages, and primary CTA</w:t>
      </w:r>
    </w:p>
    <w:p>
      <w:pPr>
        <w:pStyle w:val="ListParagraph"/>
        <w:numPr>
          <w:ilvl w:val="0"/>
          <w:numId w:val="2"/>
        </w:numPr>
        <w:shd w:fill="D0EAEC" w:color="auto" w:val="clear"/>
        <w:spacing w:before="40" w:after="60"/>
      </w:pPr>
      <w:r>
        <w:rPr>
          <w:rFonts w:ascii="Arial" w:cs="Arial" w:eastAsia="Arial" w:hAnsi="Arial"/>
          <w:color w:val="0A4A4E"/>
          <w:sz w:val="21"/>
          <w:szCs w:val="21"/>
        </w:rPr>
        <w:t xml:space="preserve">Prioritised must-haves vs. nice-to-haves for a small team shipping fast</w:t>
      </w:r>
    </w:p>
    <w:p>
      <w:pPr>
        <w:pStyle w:val="ListParagraph"/>
        <w:numPr>
          <w:ilvl w:val="0"/>
          <w:numId w:val="2"/>
        </w:numPr>
        <w:shd w:fill="D0EAEC" w:color="auto" w:val="clear"/>
        <w:spacing w:before="40" w:after="60"/>
      </w:pPr>
      <w:r>
        <w:rPr>
          <w:rFonts w:ascii="Arial" w:cs="Arial" w:eastAsia="Arial" w:hAnsi="Arial"/>
          <w:color w:val="0A4A4E"/>
          <w:sz w:val="21"/>
          <w:szCs w:val="21"/>
        </w:rPr>
        <w:t xml:space="preserve">Open questions the team must answer before going live</w:t>
      </w:r>
    </w:p>
    <w:p>
      <w:pPr>
        <w:shd w:fill="D0EAEC" w:color="auto" w:val="clear"/>
        <w:spacing w:before="0" w:after="200"/>
      </w:pPr>
    </w:p>
    <w:p>
      <w:pPr>
        <w:spacing w:after="200"/>
      </w:pPr>
    </w:p>
    <w:p>
      <w:pPr>
        <w:pStyle w:val="Heading1"/>
        <w:spacing w:before="600" w:after="200"/>
      </w:pPr>
      <w:r>
        <w:rPr>
          <w:rFonts w:ascii="Arial Black" w:cs="Arial Black" w:eastAsia="Arial Black" w:hAnsi="Arial Black"/>
          <w:b/>
          <w:bCs/>
          <w:color w:val="0A4A4E"/>
          <w:sz w:val="36"/>
          <w:szCs w:val="36"/>
        </w:rPr>
        <w:t xml:space="preserve">1 — Competitor Teardown</w:t>
      </w:r>
    </w:p>
    <w:p>
      <w:pPr>
        <w:spacing w:before="60" w:after="120" w:line="276"/>
      </w:pPr>
      <w:r>
        <w:rPr>
          <w:rFonts w:ascii="Arial" w:cs="Arial" w:eastAsia="Arial" w:hAnsi="Arial"/>
          <w:color w:val="363636"/>
          <w:sz w:val="22"/>
          <w:szCs w:val="22"/>
        </w:rPr>
        <w:t xml:space="preserve">Four brands analysed: Bose, Sonos, Samsung, and JBL. Each serves a different lesson. Teufel's own sale page is included as the baseline.</w:t>
      </w:r>
    </w:p>
    <w:p>
      <w:pPr>
        <w:spacing w:after="80"/>
      </w:pPr>
    </w:p>
    <w:p>
      <w:pPr>
        <w:pStyle w:val="Heading2"/>
        <w:spacing w:before="320" w:after="140"/>
      </w:pPr>
      <w:r>
        <w:rPr>
          <w:rFonts w:ascii="Arial Black" w:cs="Arial Black" w:eastAsia="Arial Black" w:hAnsi="Arial Black"/>
          <w:b/>
          <w:bCs/>
          <w:color w:val="1A1A1A"/>
          <w:sz w:val="28"/>
          <w:szCs w:val="28"/>
        </w:rPr>
        <w:t xml:space="preserve">1.1 Comparison at a Glance</w:t>
      </w:r>
    </w:p>
    <w:tbl>
      <w:tblPr>
        <w:tblW w:type="dxa" w:w="9840"/>
        <w:tblBorders>
          <w:top w:val="single" w:color="auto" w:sz="4"/>
          <w:left w:val="single" w:color="auto" w:sz="4"/>
          <w:bottom w:val="single" w:color="auto" w:sz="4"/>
          <w:right w:val="single" w:color="auto" w:sz="4"/>
          <w:insideH w:val="single" w:color="auto" w:sz="4"/>
          <w:insideV w:val="single" w:color="auto" w:sz="4"/>
        </w:tblBorders>
      </w:tblPr>
      <w:tblGrid>
        <w:gridCol w:w="1600"/>
        <w:gridCol w:w="1648"/>
        <w:gridCol w:w="1648"/>
        <w:gridCol w:w="1648"/>
        <w:gridCol w:w="1648"/>
        <w:gridCol w:w="1648"/>
      </w:tblGrid>
      <w:tr>
        <w:trPr>
          <w:tblHeader/>
        </w:trPr>
        <w:tc>
          <w:tcPr>
            <w:tcW w:type="dxa" w:w="1600"/>
            <w:tcBorders>
              <w:top w:val="single" w:color="0F6B72" w:sz="1"/>
              <w:left w:val="single" w:color="0F6B72" w:sz="1"/>
              <w:bottom w:val="single" w:color="0F6B72" w:sz="1"/>
              <w:right w:val="single" w:color="0F6B72" w:sz="1"/>
            </w:tcBorders>
            <w:shd w:fill="0F6B72" w:val="clear"/>
            <w:tcMar>
              <w:top w:type="dxa" w:w="100"/>
              <w:left w:type="dxa" w:w="140"/>
              <w:bottom w:type="dxa" w:w="100"/>
              <w:right w:type="dxa" w:w="140"/>
            </w:tcMar>
            <w:vAlign w:val="center"/>
          </w:tcPr>
          <w:p>
            <w:r>
              <w:rPr>
                <w:rFonts w:ascii="Arial" w:cs="Arial" w:eastAsia="Arial" w:hAnsi="Arial"/>
                <w:b/>
                <w:bCs/>
                <w:color w:val="FFFFFF"/>
                <w:sz w:val="19"/>
                <w:szCs w:val="19"/>
              </w:rPr>
              <w:t xml:space="preserve">Dimension</w:t>
            </w:r>
          </w:p>
        </w:tc>
        <w:tc>
          <w:tcPr>
            <w:tcW w:type="dxa" w:w="1648"/>
            <w:tcBorders>
              <w:top w:val="single" w:color="0F6B72" w:sz="1"/>
              <w:left w:val="single" w:color="0F6B72" w:sz="1"/>
              <w:bottom w:val="single" w:color="0F6B72" w:sz="1"/>
              <w:right w:val="single" w:color="0F6B72" w:sz="1"/>
            </w:tcBorders>
            <w:shd w:fill="0F6B72" w:val="clear"/>
            <w:tcMar>
              <w:top w:type="dxa" w:w="100"/>
              <w:left w:type="dxa" w:w="140"/>
              <w:bottom w:type="dxa" w:w="100"/>
              <w:right w:type="dxa" w:w="140"/>
            </w:tcMar>
            <w:vAlign w:val="center"/>
          </w:tcPr>
          <w:p>
            <w:r>
              <w:rPr>
                <w:rFonts w:ascii="Arial" w:cs="Arial" w:eastAsia="Arial" w:hAnsi="Arial"/>
                <w:b/>
                <w:bCs/>
                <w:color w:val="FFFFFF"/>
                <w:sz w:val="19"/>
                <w:szCs w:val="19"/>
              </w:rPr>
              <w:t xml:space="preserve">Teufel.de
(baseline)</w:t>
            </w:r>
          </w:p>
        </w:tc>
        <w:tc>
          <w:tcPr>
            <w:tcW w:type="dxa" w:w="1648"/>
            <w:tcBorders>
              <w:top w:val="single" w:color="0F6B72" w:sz="1"/>
              <w:left w:val="single" w:color="0F6B72" w:sz="1"/>
              <w:bottom w:val="single" w:color="0F6B72" w:sz="1"/>
              <w:right w:val="single" w:color="0F6B72" w:sz="1"/>
            </w:tcBorders>
            <w:shd w:fill="0F6B72" w:val="clear"/>
            <w:tcMar>
              <w:top w:type="dxa" w:w="100"/>
              <w:left w:type="dxa" w:w="140"/>
              <w:bottom w:type="dxa" w:w="100"/>
              <w:right w:type="dxa" w:w="140"/>
            </w:tcMar>
            <w:vAlign w:val="center"/>
          </w:tcPr>
          <w:p>
            <w:r>
              <w:rPr>
                <w:rFonts w:ascii="Arial" w:cs="Arial" w:eastAsia="Arial" w:hAnsi="Arial"/>
                <w:b/>
                <w:bCs/>
                <w:color w:val="FFFFFF"/>
                <w:sz w:val="19"/>
                <w:szCs w:val="19"/>
              </w:rPr>
              <w:t xml:space="preserve">Bose.de</w:t>
            </w:r>
          </w:p>
        </w:tc>
        <w:tc>
          <w:tcPr>
            <w:tcW w:type="dxa" w:w="1648"/>
            <w:tcBorders>
              <w:top w:val="single" w:color="0F6B72" w:sz="1"/>
              <w:left w:val="single" w:color="0F6B72" w:sz="1"/>
              <w:bottom w:val="single" w:color="0F6B72" w:sz="1"/>
              <w:right w:val="single" w:color="0F6B72" w:sz="1"/>
            </w:tcBorders>
            <w:shd w:fill="0F6B72" w:val="clear"/>
            <w:tcMar>
              <w:top w:type="dxa" w:w="100"/>
              <w:left w:type="dxa" w:w="140"/>
              <w:bottom w:type="dxa" w:w="100"/>
              <w:right w:type="dxa" w:w="140"/>
            </w:tcMar>
            <w:vAlign w:val="center"/>
          </w:tcPr>
          <w:p>
            <w:r>
              <w:rPr>
                <w:rFonts w:ascii="Arial" w:cs="Arial" w:eastAsia="Arial" w:hAnsi="Arial"/>
                <w:b/>
                <w:bCs/>
                <w:color w:val="FFFFFF"/>
                <w:sz w:val="19"/>
                <w:szCs w:val="19"/>
              </w:rPr>
              <w:t xml:space="preserve">Sonos.de</w:t>
            </w:r>
          </w:p>
        </w:tc>
        <w:tc>
          <w:tcPr>
            <w:tcW w:type="dxa" w:w="1648"/>
            <w:tcBorders>
              <w:top w:val="single" w:color="0F6B72" w:sz="1"/>
              <w:left w:val="single" w:color="0F6B72" w:sz="1"/>
              <w:bottom w:val="single" w:color="0F6B72" w:sz="1"/>
              <w:right w:val="single" w:color="0F6B72" w:sz="1"/>
            </w:tcBorders>
            <w:shd w:fill="0F6B72" w:val="clear"/>
            <w:tcMar>
              <w:top w:type="dxa" w:w="100"/>
              <w:left w:type="dxa" w:w="140"/>
              <w:bottom w:type="dxa" w:w="100"/>
              <w:right w:type="dxa" w:w="140"/>
            </w:tcMar>
            <w:vAlign w:val="center"/>
          </w:tcPr>
          <w:p>
            <w:r>
              <w:rPr>
                <w:rFonts w:ascii="Arial" w:cs="Arial" w:eastAsia="Arial" w:hAnsi="Arial"/>
                <w:b/>
                <w:bCs/>
                <w:color w:val="FFFFFF"/>
                <w:sz w:val="19"/>
                <w:szCs w:val="19"/>
              </w:rPr>
              <w:t xml:space="preserve">Samsung.de</w:t>
            </w:r>
          </w:p>
        </w:tc>
        <w:tc>
          <w:tcPr>
            <w:tcW w:type="dxa" w:w="1648"/>
            <w:tcBorders>
              <w:top w:val="single" w:color="0F6B72" w:sz="1"/>
              <w:left w:val="single" w:color="0F6B72" w:sz="1"/>
              <w:bottom w:val="single" w:color="0F6B72" w:sz="1"/>
              <w:right w:val="single" w:color="0F6B72" w:sz="1"/>
            </w:tcBorders>
            <w:shd w:fill="0F6B72" w:val="clear"/>
            <w:tcMar>
              <w:top w:type="dxa" w:w="100"/>
              <w:left w:type="dxa" w:w="140"/>
              <w:bottom w:type="dxa" w:w="100"/>
              <w:right w:type="dxa" w:w="140"/>
            </w:tcMar>
            <w:vAlign w:val="center"/>
          </w:tcPr>
          <w:p>
            <w:r>
              <w:rPr>
                <w:rFonts w:ascii="Arial" w:cs="Arial" w:eastAsia="Arial" w:hAnsi="Arial"/>
                <w:b/>
                <w:bCs/>
                <w:color w:val="FFFFFF"/>
                <w:sz w:val="19"/>
                <w:szCs w:val="19"/>
              </w:rPr>
              <w:t xml:space="preserve">JBL.de</w:t>
            </w:r>
          </w:p>
        </w:tc>
      </w:tr>
      <w:tr>
        <w:tc>
          <w:tcPr>
            <w:tcW w:type="dxa" w:w="1600"/>
            <w:tcBorders>
              <w:top w:val="single" w:color="D0D8D9" w:sz="1"/>
              <w:left w:val="single" w:color="D0D8D9" w:sz="1"/>
              <w:bottom w:val="single" w:color="D0D8D9" w:sz="1"/>
              <w:right w:val="single" w:color="D0D8D9" w:sz="1"/>
            </w:tcBorders>
            <w:shd w:fill="FFFFFF" w:val="clear"/>
            <w:tcMar>
              <w:top w:type="dxa" w:w="80"/>
              <w:left w:type="dxa" w:w="140"/>
              <w:bottom w:type="dxa" w:w="80"/>
              <w:right w:type="dxa" w:w="140"/>
            </w:tcMar>
          </w:tcPr>
          <w:p>
            <w:r>
              <w:rPr>
                <w:rFonts w:ascii="Arial" w:cs="Arial" w:eastAsia="Arial" w:hAnsi="Arial"/>
                <w:b/>
                <w:bCs/>
                <w:color w:val="1A1A1A"/>
                <w:sz w:val="19"/>
                <w:szCs w:val="19"/>
              </w:rPr>
              <w:t xml:space="preserve">Hero headline</w:t>
            </w:r>
          </w:p>
        </w:tc>
        <w:tc>
          <w:tcPr>
            <w:tcW w:type="dxa" w:w="1648"/>
            <w:tcBorders>
              <w:top w:val="single" w:color="D0D8D9" w:sz="1"/>
              <w:left w:val="single" w:color="D0D8D9" w:sz="1"/>
              <w:bottom w:val="single" w:color="D0D8D9" w:sz="1"/>
              <w:right w:val="single" w:color="D0D8D9" w:sz="1"/>
            </w:tcBorders>
            <w:shd w:fill="FFFFFF" w:val="clear"/>
            <w:tcMar>
              <w:top w:type="dxa" w:w="80"/>
              <w:left w:type="dxa" w:w="140"/>
              <w:bottom w:type="dxa" w:w="80"/>
              <w:right w:type="dxa" w:w="140"/>
            </w:tcMar>
          </w:tcPr>
          <w:p>
            <w:r>
              <w:rPr>
                <w:rFonts w:ascii="Arial" w:cs="Arial" w:eastAsia="Arial" w:hAnsi="Arial"/>
                <w:b w:val="false"/>
                <w:bCs w:val="false"/>
                <w:color w:val="363636"/>
                <w:sz w:val="19"/>
                <w:szCs w:val="19"/>
              </w:rPr>
              <w:t xml:space="preserve">"Besserer TV-Sound" — functional, category-led</w:t>
            </w:r>
          </w:p>
        </w:tc>
        <w:tc>
          <w:tcPr>
            <w:tcW w:type="dxa" w:w="1648"/>
            <w:tcBorders>
              <w:top w:val="single" w:color="D0D8D9" w:sz="1"/>
              <w:left w:val="single" w:color="D0D8D9" w:sz="1"/>
              <w:bottom w:val="single" w:color="D0D8D9" w:sz="1"/>
              <w:right w:val="single" w:color="D0D8D9" w:sz="1"/>
            </w:tcBorders>
            <w:shd w:fill="F4F8F9" w:val="clear"/>
            <w:tcMar>
              <w:top w:type="dxa" w:w="80"/>
              <w:left w:type="dxa" w:w="140"/>
              <w:bottom w:type="dxa" w:w="80"/>
              <w:right w:type="dxa" w:w="140"/>
            </w:tcMar>
          </w:tcPr>
          <w:p>
            <w:r>
              <w:rPr>
                <w:rFonts w:ascii="Arial" w:cs="Arial" w:eastAsia="Arial" w:hAnsi="Arial"/>
                <w:b w:val="false"/>
                <w:bCs w:val="false"/>
                <w:color w:val="363636"/>
                <w:sz w:val="19"/>
                <w:szCs w:val="19"/>
              </w:rPr>
              <w:t xml:space="preserve">"Summer Flash Sale — bis zu 30% zusätzlich" — promotion-first</w:t>
            </w:r>
          </w:p>
        </w:tc>
        <w:tc>
          <w:tcPr>
            <w:tcW w:type="dxa" w:w="1648"/>
            <w:tcBorders>
              <w:top w:val="single" w:color="D0D8D9" w:sz="1"/>
              <w:left w:val="single" w:color="D0D8D9" w:sz="1"/>
              <w:bottom w:val="single" w:color="D0D8D9" w:sz="1"/>
              <w:right w:val="single" w:color="D0D8D9" w:sz="1"/>
            </w:tcBorders>
            <w:shd w:fill="FFFFFF" w:val="clear"/>
            <w:tcMar>
              <w:top w:type="dxa" w:w="80"/>
              <w:left w:type="dxa" w:w="140"/>
              <w:bottom w:type="dxa" w:w="80"/>
              <w:right w:type="dxa" w:w="140"/>
            </w:tcMar>
          </w:tcPr>
          <w:p>
            <w:r>
              <w:rPr>
                <w:rFonts w:ascii="Arial" w:cs="Arial" w:eastAsia="Arial" w:hAnsi="Arial"/>
                <w:b w:val="false"/>
                <w:bCs w:val="false"/>
                <w:color w:val="363636"/>
                <w:sz w:val="19"/>
                <w:szCs w:val="19"/>
              </w:rPr>
              <w:t xml:space="preserve">"Mach deine Soundbar zum Herzstück deines Entertainments" — lifestyle-led</w:t>
            </w:r>
          </w:p>
        </w:tc>
        <w:tc>
          <w:tcPr>
            <w:tcW w:type="dxa" w:w="1648"/>
            <w:tcBorders>
              <w:top w:val="single" w:color="D0D8D9" w:sz="1"/>
              <w:left w:val="single" w:color="D0D8D9" w:sz="1"/>
              <w:bottom w:val="single" w:color="D0D8D9" w:sz="1"/>
              <w:right w:val="single" w:color="D0D8D9" w:sz="1"/>
            </w:tcBorders>
            <w:shd w:fill="F4F8F9" w:val="clear"/>
            <w:tcMar>
              <w:top w:type="dxa" w:w="80"/>
              <w:left w:type="dxa" w:w="140"/>
              <w:bottom w:type="dxa" w:w="80"/>
              <w:right w:type="dxa" w:w="140"/>
            </w:tcMar>
          </w:tcPr>
          <w:p>
            <w:r>
              <w:rPr>
                <w:rFonts w:ascii="Arial" w:cs="Arial" w:eastAsia="Arial" w:hAnsi="Arial"/>
                <w:b w:val="false"/>
                <w:bCs w:val="false"/>
                <w:color w:val="363636"/>
                <w:sz w:val="19"/>
                <w:szCs w:val="19"/>
              </w:rPr>
              <w:t xml:space="preserve">Spec-first: Dolby Atmos, Q-Symphony, wireless — features dominate</w:t>
            </w:r>
          </w:p>
        </w:tc>
        <w:tc>
          <w:tcPr>
            <w:tcW w:type="dxa" w:w="1648"/>
            <w:tcBorders>
              <w:top w:val="single" w:color="D0D8D9" w:sz="1"/>
              <w:left w:val="single" w:color="D0D8D9" w:sz="1"/>
              <w:bottom w:val="single" w:color="D0D8D9" w:sz="1"/>
              <w:right w:val="single" w:color="D0D8D9" w:sz="1"/>
            </w:tcBorders>
            <w:shd w:fill="FFFFFF" w:val="clear"/>
            <w:tcMar>
              <w:top w:type="dxa" w:w="80"/>
              <w:left w:type="dxa" w:w="140"/>
              <w:bottom w:type="dxa" w:w="80"/>
              <w:right w:type="dxa" w:w="140"/>
            </w:tcMar>
          </w:tcPr>
          <w:p>
            <w:r>
              <w:rPr>
                <w:rFonts w:ascii="Arial" w:cs="Arial" w:eastAsia="Arial" w:hAnsi="Arial"/>
                <w:b w:val="false"/>
                <w:bCs w:val="false"/>
                <w:color w:val="363636"/>
                <w:sz w:val="19"/>
                <w:szCs w:val="19"/>
              </w:rPr>
              <w:t xml:space="preserve">Price-tier and value framing; "Jetzt kaufen" prominent</w:t>
            </w:r>
          </w:p>
        </w:tc>
      </w:tr>
      <w:tr>
        <w:tc>
          <w:tcPr>
            <w:tcW w:type="dxa" w:w="1600"/>
            <w:tcBorders>
              <w:top w:val="single" w:color="D0D8D9" w:sz="1"/>
              <w:left w:val="single" w:color="D0D8D9" w:sz="1"/>
              <w:bottom w:val="single" w:color="D0D8D9" w:sz="1"/>
              <w:right w:val="single" w:color="D0D8D9" w:sz="1"/>
            </w:tcBorders>
            <w:shd w:fill="F4F8F9" w:val="clear"/>
            <w:tcMar>
              <w:top w:type="dxa" w:w="80"/>
              <w:left w:type="dxa" w:w="140"/>
              <w:bottom w:type="dxa" w:w="80"/>
              <w:right w:type="dxa" w:w="140"/>
            </w:tcMar>
          </w:tcPr>
          <w:p>
            <w:r>
              <w:rPr>
                <w:rFonts w:ascii="Arial" w:cs="Arial" w:eastAsia="Arial" w:hAnsi="Arial"/>
                <w:b/>
                <w:bCs/>
                <w:color w:val="1A1A1A"/>
                <w:sz w:val="19"/>
                <w:szCs w:val="19"/>
              </w:rPr>
              <w:t xml:space="preserve">Offer framing</w:t>
            </w:r>
          </w:p>
        </w:tc>
        <w:tc>
          <w:tcPr>
            <w:tcW w:type="dxa" w:w="1648"/>
            <w:tcBorders>
              <w:top w:val="single" w:color="D0D8D9" w:sz="1"/>
              <w:left w:val="single" w:color="D0D8D9" w:sz="1"/>
              <w:bottom w:val="single" w:color="D0D8D9" w:sz="1"/>
              <w:right w:val="single" w:color="D0D8D9" w:sz="1"/>
            </w:tcBorders>
            <w:shd w:fill="F4F8F9" w:val="clear"/>
            <w:tcMar>
              <w:top w:type="dxa" w:w="80"/>
              <w:left w:type="dxa" w:w="140"/>
              <w:bottom w:type="dxa" w:w="80"/>
              <w:right w:type="dxa" w:w="140"/>
            </w:tcMar>
          </w:tcPr>
          <w:p>
            <w:r>
              <w:rPr>
                <w:rFonts w:ascii="Arial" w:cs="Arial" w:eastAsia="Arial" w:hAnsi="Arial"/>
                <w:b w:val="false"/>
                <w:bCs w:val="false"/>
                <w:color w:val="363636"/>
                <w:sz w:val="19"/>
                <w:szCs w:val="19"/>
              </w:rPr>
              <w:t xml:space="preserve">Three-tier price: sale + "letzter niedrigster Preis" + strikethrough original. "Bis zu 47% Rabatt" in hero.</w:t>
            </w:r>
          </w:p>
        </w:tc>
        <w:tc>
          <w:tcPr>
            <w:tcW w:type="dxa" w:w="1648"/>
            <w:tcBorders>
              <w:top w:val="single" w:color="D0D8D9" w:sz="1"/>
              <w:left w:val="single" w:color="D0D8D9" w:sz="1"/>
              <w:bottom w:val="single" w:color="D0D8D9" w:sz="1"/>
              <w:right w:val="single" w:color="D0D8D9" w:sz="1"/>
            </w:tcBorders>
            <w:shd w:fill="FFFFFF" w:val="clear"/>
            <w:tcMar>
              <w:top w:type="dxa" w:w="80"/>
              <w:left w:type="dxa" w:w="140"/>
              <w:bottom w:type="dxa" w:w="80"/>
              <w:right w:type="dxa" w:w="140"/>
            </w:tcMar>
          </w:tcPr>
          <w:p>
            <w:r>
              <w:rPr>
                <w:rFonts w:ascii="Arial" w:cs="Arial" w:eastAsia="Arial" w:hAnsi="Arial"/>
                <w:b w:val="false"/>
                <w:bCs w:val="false"/>
                <w:color w:val="363636"/>
                <w:sz w:val="19"/>
                <w:szCs w:val="19"/>
              </w:rPr>
              <w:t xml:space="preserve">Code-driven: "FLASH" code for extra 30%. Original vs sale price. "NUR 4 TAGE" countdown.</w:t>
            </w:r>
          </w:p>
        </w:tc>
        <w:tc>
          <w:tcPr>
            <w:tcW w:type="dxa" w:w="1648"/>
            <w:tcBorders>
              <w:top w:val="single" w:color="D0D8D9" w:sz="1"/>
              <w:left w:val="single" w:color="D0D8D9" w:sz="1"/>
              <w:bottom w:val="single" w:color="D0D8D9" w:sz="1"/>
              <w:right w:val="single" w:color="D0D8D9" w:sz="1"/>
            </w:tcBorders>
            <w:shd w:fill="F4F8F9" w:val="clear"/>
            <w:tcMar>
              <w:top w:type="dxa" w:w="80"/>
              <w:left w:type="dxa" w:w="140"/>
              <w:bottom w:type="dxa" w:w="80"/>
              <w:right w:type="dxa" w:w="140"/>
            </w:tcMar>
          </w:tcPr>
          <w:p>
            <w:r>
              <w:rPr>
                <w:rFonts w:ascii="Arial" w:cs="Arial" w:eastAsia="Arial" w:hAnsi="Arial"/>
                <w:b w:val="false"/>
                <w:bCs w:val="false"/>
                <w:color w:val="363636"/>
                <w:sz w:val="19"/>
                <w:szCs w:val="19"/>
              </w:rPr>
              <w:t xml:space="preserve">"Spare 24%", "Top Preis-Leistung", "Letzte Chance" labels. No countdown. Savings amount shown (not %).</w:t>
            </w:r>
          </w:p>
        </w:tc>
        <w:tc>
          <w:tcPr>
            <w:tcW w:type="dxa" w:w="1648"/>
            <w:tcBorders>
              <w:top w:val="single" w:color="D0D8D9" w:sz="1"/>
              <w:left w:val="single" w:color="D0D8D9" w:sz="1"/>
              <w:bottom w:val="single" w:color="D0D8D9" w:sz="1"/>
              <w:right w:val="single" w:color="D0D8D9" w:sz="1"/>
            </w:tcBorders>
            <w:shd w:fill="FFFFFF" w:val="clear"/>
            <w:tcMar>
              <w:top w:type="dxa" w:w="80"/>
              <w:left w:type="dxa" w:w="140"/>
              <w:bottom w:type="dxa" w:w="80"/>
              <w:right w:type="dxa" w:w="140"/>
            </w:tcMar>
          </w:tcPr>
          <w:p>
            <w:r>
              <w:rPr>
                <w:rFonts w:ascii="Arial" w:cs="Arial" w:eastAsia="Arial" w:hAnsi="Arial"/>
                <w:b w:val="false"/>
                <w:bCs w:val="false"/>
                <w:color w:val="363636"/>
                <w:sz w:val="19"/>
                <w:szCs w:val="19"/>
              </w:rPr>
              <w:t xml:space="preserve">Bundle + streaming deals (Netflix, qobuz, Magenta TV). Tech-value framing.</w:t>
            </w:r>
          </w:p>
        </w:tc>
        <w:tc>
          <w:tcPr>
            <w:tcW w:type="dxa" w:w="1648"/>
            <w:tcBorders>
              <w:top w:val="single" w:color="D0D8D9" w:sz="1"/>
              <w:left w:val="single" w:color="D0D8D9" w:sz="1"/>
              <w:bottom w:val="single" w:color="D0D8D9" w:sz="1"/>
              <w:right w:val="single" w:color="D0D8D9" w:sz="1"/>
            </w:tcBorders>
            <w:shd w:fill="F4F8F9" w:val="clear"/>
            <w:tcMar>
              <w:top w:type="dxa" w:w="80"/>
              <w:left w:type="dxa" w:w="140"/>
              <w:bottom w:type="dxa" w:w="80"/>
              <w:right w:type="dxa" w:w="140"/>
            </w:tcMar>
          </w:tcPr>
          <w:p>
            <w:r>
              <w:rPr>
                <w:rFonts w:ascii="Arial" w:cs="Arial" w:eastAsia="Arial" w:hAnsi="Arial"/>
                <w:b w:val="false"/>
                <w:bCs w:val="false"/>
                <w:color w:val="363636"/>
                <w:sz w:val="19"/>
                <w:szCs w:val="19"/>
              </w:rPr>
              <w:t xml:space="preserve">Price-tier sections ("unter €200", etc.). Flash sale badges. Discount % on product cards.</w:t>
            </w:r>
          </w:p>
        </w:tc>
      </w:tr>
      <w:tr>
        <w:tc>
          <w:tcPr>
            <w:tcW w:type="dxa" w:w="1600"/>
            <w:tcBorders>
              <w:top w:val="single" w:color="D0D8D9" w:sz="1"/>
              <w:left w:val="single" w:color="D0D8D9" w:sz="1"/>
              <w:bottom w:val="single" w:color="D0D8D9" w:sz="1"/>
              <w:right w:val="single" w:color="D0D8D9" w:sz="1"/>
            </w:tcBorders>
            <w:shd w:fill="FFFFFF" w:val="clear"/>
            <w:tcMar>
              <w:top w:type="dxa" w:w="80"/>
              <w:left w:type="dxa" w:w="140"/>
              <w:bottom w:type="dxa" w:w="80"/>
              <w:right w:type="dxa" w:w="140"/>
            </w:tcMar>
          </w:tcPr>
          <w:p>
            <w:r>
              <w:rPr>
                <w:rFonts w:ascii="Arial" w:cs="Arial" w:eastAsia="Arial" w:hAnsi="Arial"/>
                <w:b/>
                <w:bCs/>
                <w:color w:val="1A1A1A"/>
                <w:sz w:val="19"/>
                <w:szCs w:val="19"/>
              </w:rPr>
              <w:t xml:space="preserve">CTA type &amp; placement</w:t>
            </w:r>
          </w:p>
        </w:tc>
        <w:tc>
          <w:tcPr>
            <w:tcW w:type="dxa" w:w="1648"/>
            <w:tcBorders>
              <w:top w:val="single" w:color="D0D8D9" w:sz="1"/>
              <w:left w:val="single" w:color="D0D8D9" w:sz="1"/>
              <w:bottom w:val="single" w:color="D0D8D9" w:sz="1"/>
              <w:right w:val="single" w:color="D0D8D9" w:sz="1"/>
            </w:tcBorders>
            <w:shd w:fill="FFFFFF" w:val="clear"/>
            <w:tcMar>
              <w:top w:type="dxa" w:w="80"/>
              <w:left w:type="dxa" w:w="140"/>
              <w:bottom w:type="dxa" w:w="80"/>
              <w:right w:type="dxa" w:w="140"/>
            </w:tcMar>
          </w:tcPr>
          <w:p>
            <w:r>
              <w:rPr>
                <w:rFonts w:ascii="Arial" w:cs="Arial" w:eastAsia="Arial" w:hAnsi="Arial"/>
                <w:b w:val="false"/>
                <w:bCs w:val="false"/>
                <w:color w:val="363636"/>
                <w:sz w:val="19"/>
                <w:szCs w:val="19"/>
              </w:rPr>
              <w:t xml:space="preserve">Product card links only. No sticky CTA. No site-wide "buy now" button.</w:t>
            </w:r>
          </w:p>
        </w:tc>
        <w:tc>
          <w:tcPr>
            <w:tcW w:type="dxa" w:w="1648"/>
            <w:tcBorders>
              <w:top w:val="single" w:color="D0D8D9" w:sz="1"/>
              <w:left w:val="single" w:color="D0D8D9" w:sz="1"/>
              <w:bottom w:val="single" w:color="D0D8D9" w:sz="1"/>
              <w:right w:val="single" w:color="D0D8D9" w:sz="1"/>
            </w:tcBorders>
            <w:shd w:fill="F4F8F9" w:val="clear"/>
            <w:tcMar>
              <w:top w:type="dxa" w:w="80"/>
              <w:left w:type="dxa" w:w="140"/>
              <w:bottom w:type="dxa" w:w="80"/>
              <w:right w:type="dxa" w:w="140"/>
            </w:tcMar>
          </w:tcPr>
          <w:p>
            <w:r>
              <w:rPr>
                <w:rFonts w:ascii="Arial" w:cs="Arial" w:eastAsia="Arial" w:hAnsi="Arial"/>
                <w:b w:val="false"/>
                <w:bCs w:val="false"/>
                <w:color w:val="363636"/>
                <w:sz w:val="19"/>
                <w:szCs w:val="19"/>
              </w:rPr>
              <w:t xml:space="preserve">"JETZT KAUFEN", "SALE SHOPPEN". Strong action language. Clear above fold.</w:t>
            </w:r>
          </w:p>
        </w:tc>
        <w:tc>
          <w:tcPr>
            <w:tcW w:type="dxa" w:w="1648"/>
            <w:tcBorders>
              <w:top w:val="single" w:color="D0D8D9" w:sz="1"/>
              <w:left w:val="single" w:color="D0D8D9" w:sz="1"/>
              <w:bottom w:val="single" w:color="D0D8D9" w:sz="1"/>
              <w:right w:val="single" w:color="D0D8D9" w:sz="1"/>
            </w:tcBorders>
            <w:shd w:fill="FFFFFF" w:val="clear"/>
            <w:tcMar>
              <w:top w:type="dxa" w:w="80"/>
              <w:left w:type="dxa" w:w="140"/>
              <w:bottom w:type="dxa" w:w="80"/>
              <w:right w:type="dxa" w:w="140"/>
            </w:tcMar>
          </w:tcPr>
          <w:p>
            <w:r>
              <w:rPr>
                <w:rFonts w:ascii="Arial" w:cs="Arial" w:eastAsia="Arial" w:hAnsi="Arial"/>
                <w:b w:val="false"/>
                <w:bCs w:val="false"/>
                <w:color w:val="363636"/>
                <w:sz w:val="19"/>
                <w:szCs w:val="19"/>
              </w:rPr>
              <w:t xml:space="preserve">"Vergleichen" everywhere — comparison-first, not buy-first. Low urgency.</w:t>
            </w:r>
          </w:p>
        </w:tc>
        <w:tc>
          <w:tcPr>
            <w:tcW w:type="dxa" w:w="1648"/>
            <w:tcBorders>
              <w:top w:val="single" w:color="D0D8D9" w:sz="1"/>
              <w:left w:val="single" w:color="D0D8D9" w:sz="1"/>
              <w:bottom w:val="single" w:color="D0D8D9" w:sz="1"/>
              <w:right w:val="single" w:color="D0D8D9" w:sz="1"/>
            </w:tcBorders>
            <w:shd w:fill="F4F8F9" w:val="clear"/>
            <w:tcMar>
              <w:top w:type="dxa" w:w="80"/>
              <w:left w:type="dxa" w:w="140"/>
              <w:bottom w:type="dxa" w:w="80"/>
              <w:right w:type="dxa" w:w="140"/>
            </w:tcMar>
          </w:tcPr>
          <w:p>
            <w:r>
              <w:rPr>
                <w:rFonts w:ascii="Arial" w:cs="Arial" w:eastAsia="Arial" w:hAnsi="Arial"/>
                <w:b w:val="false"/>
                <w:bCs w:val="false"/>
                <w:color w:val="363636"/>
                <w:sz w:val="19"/>
                <w:szCs w:val="19"/>
              </w:rPr>
              <w:t xml:space="preserve">"Jetzt kaufen" per product card. No site-wide promotional sticky CTA.</w:t>
            </w:r>
          </w:p>
        </w:tc>
        <w:tc>
          <w:tcPr>
            <w:tcW w:type="dxa" w:w="1648"/>
            <w:tcBorders>
              <w:top w:val="single" w:color="D0D8D9" w:sz="1"/>
              <w:left w:val="single" w:color="D0D8D9" w:sz="1"/>
              <w:bottom w:val="single" w:color="D0D8D9" w:sz="1"/>
              <w:right w:val="single" w:color="D0D8D9" w:sz="1"/>
            </w:tcBorders>
            <w:shd w:fill="FFFFFF" w:val="clear"/>
            <w:tcMar>
              <w:top w:type="dxa" w:w="80"/>
              <w:left w:type="dxa" w:w="140"/>
              <w:bottom w:type="dxa" w:w="80"/>
              <w:right w:type="dxa" w:w="140"/>
            </w:tcMar>
          </w:tcPr>
          <w:p>
            <w:r>
              <w:rPr>
                <w:rFonts w:ascii="Arial" w:cs="Arial" w:eastAsia="Arial" w:hAnsi="Arial"/>
                <w:b w:val="false"/>
                <w:bCs w:val="false"/>
                <w:color w:val="363636"/>
                <w:sz w:val="19"/>
                <w:szCs w:val="19"/>
              </w:rPr>
              <w:t xml:space="preserve">"In den Warenkorb" / "Jetzt kaufen". Sticky add-to-cart on product scroll.</w:t>
            </w:r>
          </w:p>
        </w:tc>
      </w:tr>
      <w:tr>
        <w:tc>
          <w:tcPr>
            <w:tcW w:type="dxa" w:w="1600"/>
            <w:tcBorders>
              <w:top w:val="single" w:color="D0D8D9" w:sz="1"/>
              <w:left w:val="single" w:color="D0D8D9" w:sz="1"/>
              <w:bottom w:val="single" w:color="D0D8D9" w:sz="1"/>
              <w:right w:val="single" w:color="D0D8D9" w:sz="1"/>
            </w:tcBorders>
            <w:shd w:fill="F4F8F9" w:val="clear"/>
            <w:tcMar>
              <w:top w:type="dxa" w:w="80"/>
              <w:left w:type="dxa" w:w="140"/>
              <w:bottom w:type="dxa" w:w="80"/>
              <w:right w:type="dxa" w:w="140"/>
            </w:tcMar>
          </w:tcPr>
          <w:p>
            <w:r>
              <w:rPr>
                <w:rFonts w:ascii="Arial" w:cs="Arial" w:eastAsia="Arial" w:hAnsi="Arial"/>
                <w:b/>
                <w:bCs/>
                <w:color w:val="1A1A1A"/>
                <w:sz w:val="19"/>
                <w:szCs w:val="19"/>
              </w:rPr>
              <w:t xml:space="preserve">Trust signals</w:t>
            </w:r>
          </w:p>
        </w:tc>
        <w:tc>
          <w:tcPr>
            <w:tcW w:type="dxa" w:w="1648"/>
            <w:tcBorders>
              <w:top w:val="single" w:color="D0D8D9" w:sz="1"/>
              <w:left w:val="single" w:color="D0D8D9" w:sz="1"/>
              <w:bottom w:val="single" w:color="D0D8D9" w:sz="1"/>
              <w:right w:val="single" w:color="D0D8D9" w:sz="1"/>
            </w:tcBorders>
            <w:shd w:fill="F4F8F9" w:val="clear"/>
            <w:tcMar>
              <w:top w:type="dxa" w:w="80"/>
              <w:left w:type="dxa" w:w="140"/>
              <w:bottom w:type="dxa" w:w="80"/>
              <w:right w:type="dxa" w:w="140"/>
            </w:tcMar>
          </w:tcPr>
          <w:p>
            <w:r>
              <w:rPr>
                <w:rFonts w:ascii="Arial" w:cs="Arial" w:eastAsia="Arial" w:hAnsi="Arial"/>
                <w:b w:val="false"/>
                <w:bCs w:val="false"/>
                <w:color w:val="363636"/>
                <w:sz w:val="19"/>
                <w:szCs w:val="19"/>
              </w:rPr>
              <w:t xml:space="preserve">Stiftung Warentest GUT 2.4 (Cinebar 11, as displayed on teufel.de — verify currency), CHIP Sieger 12/2024 (Cinebar Ultima, as displayed — verify), Trustpilot in header</w:t>
            </w:r>
          </w:p>
        </w:tc>
        <w:tc>
          <w:tcPr>
            <w:tcW w:type="dxa" w:w="1648"/>
            <w:tcBorders>
              <w:top w:val="single" w:color="D0D8D9" w:sz="1"/>
              <w:left w:val="single" w:color="D0D8D9" w:sz="1"/>
              <w:bottom w:val="single" w:color="D0D8D9" w:sz="1"/>
              <w:right w:val="single" w:color="D0D8D9" w:sz="1"/>
            </w:tcBorders>
            <w:shd w:fill="FFFFFF" w:val="clear"/>
            <w:tcMar>
              <w:top w:type="dxa" w:w="80"/>
              <w:left w:type="dxa" w:w="140"/>
              <w:bottom w:type="dxa" w:w="80"/>
              <w:right w:type="dxa" w:w="140"/>
            </w:tcMar>
          </w:tcPr>
          <w:p>
            <w:r>
              <w:rPr>
                <w:rFonts w:ascii="Arial" w:cs="Arial" w:eastAsia="Arial" w:hAnsi="Arial"/>
                <w:b w:val="false"/>
                <w:bCs w:val="false"/>
                <w:color w:val="363636"/>
                <w:sz w:val="19"/>
                <w:szCs w:val="19"/>
              </w:rPr>
              <w:t xml:space="preserve">90-Tage-Rückgabefrist. Free delivery €49+. Star ratings + review counts. "Erstklassiger Kundenservice".</w:t>
            </w:r>
          </w:p>
        </w:tc>
        <w:tc>
          <w:tcPr>
            <w:tcW w:type="dxa" w:w="1648"/>
            <w:tcBorders>
              <w:top w:val="single" w:color="D0D8D9" w:sz="1"/>
              <w:left w:val="single" w:color="D0D8D9" w:sz="1"/>
              <w:bottom w:val="single" w:color="D0D8D9" w:sz="1"/>
              <w:right w:val="single" w:color="D0D8D9" w:sz="1"/>
            </w:tcBorders>
            <w:shd w:fill="F4F8F9" w:val="clear"/>
            <w:tcMar>
              <w:top w:type="dxa" w:w="80"/>
              <w:left w:type="dxa" w:w="140"/>
              <w:bottom w:type="dxa" w:w="80"/>
              <w:right w:type="dxa" w:w="140"/>
            </w:tcMar>
          </w:tcPr>
          <w:p>
            <w:r>
              <w:rPr>
                <w:rFonts w:ascii="Arial" w:cs="Arial" w:eastAsia="Arial" w:hAnsi="Arial"/>
                <w:b w:val="false"/>
                <w:bCs w:val="false"/>
                <w:color w:val="363636"/>
                <w:sz w:val="19"/>
                <w:szCs w:val="19"/>
              </w:rPr>
              <w:t xml:space="preserve">4.3–4.7 stars per product. Certified refurbished signal. Brand reputation carries trust.</w:t>
            </w:r>
          </w:p>
        </w:tc>
        <w:tc>
          <w:tcPr>
            <w:tcW w:type="dxa" w:w="1648"/>
            <w:tcBorders>
              <w:top w:val="single" w:color="D0D8D9" w:sz="1"/>
              <w:left w:val="single" w:color="D0D8D9" w:sz="1"/>
              <w:bottom w:val="single" w:color="D0D8D9" w:sz="1"/>
              <w:right w:val="single" w:color="D0D8D9" w:sz="1"/>
            </w:tcBorders>
            <w:shd w:fill="FFFFFF" w:val="clear"/>
            <w:tcMar>
              <w:top w:type="dxa" w:w="80"/>
              <w:left w:type="dxa" w:w="140"/>
              <w:bottom w:type="dxa" w:w="80"/>
              <w:right w:type="dxa" w:w="140"/>
            </w:tcMar>
          </w:tcPr>
          <w:p>
            <w:r>
              <w:rPr>
                <w:rFonts w:ascii="Arial" w:cs="Arial" w:eastAsia="Arial" w:hAnsi="Arial"/>
                <w:b w:val="false"/>
                <w:bCs w:val="false"/>
                <w:color w:val="363636"/>
                <w:sz w:val="19"/>
                <w:szCs w:val="19"/>
              </w:rPr>
              <w:t xml:space="preserve">Stiftung Warentest top placements (HW-Q935GF #1). "Made for Germany" campaign. Large brand familiarity.</w:t>
            </w:r>
          </w:p>
        </w:tc>
        <w:tc>
          <w:tcPr>
            <w:tcW w:type="dxa" w:w="1648"/>
            <w:tcBorders>
              <w:top w:val="single" w:color="D0D8D9" w:sz="1"/>
              <w:left w:val="single" w:color="D0D8D9" w:sz="1"/>
              <w:bottom w:val="single" w:color="D0D8D9" w:sz="1"/>
              <w:right w:val="single" w:color="D0D8D9" w:sz="1"/>
            </w:tcBorders>
            <w:shd w:fill="F4F8F9" w:val="clear"/>
            <w:tcMar>
              <w:top w:type="dxa" w:w="80"/>
              <w:left w:type="dxa" w:w="140"/>
              <w:bottom w:type="dxa" w:w="80"/>
              <w:right w:type="dxa" w:w="140"/>
            </w:tcMar>
          </w:tcPr>
          <w:p>
            <w:r>
              <w:rPr>
                <w:rFonts w:ascii="Arial" w:cs="Arial" w:eastAsia="Arial" w:hAnsi="Arial"/>
                <w:b w:val="false"/>
                <w:bCs w:val="false"/>
                <w:color w:val="363636"/>
                <w:sz w:val="19"/>
                <w:szCs w:val="19"/>
              </w:rPr>
              <w:t xml:space="preserve">Large review counts. Brand recognition. Harman/SAMSUNG parent credibility. Test award badges on select products.</w:t>
            </w:r>
          </w:p>
        </w:tc>
      </w:tr>
      <w:tr>
        <w:tc>
          <w:tcPr>
            <w:tcW w:type="dxa" w:w="1600"/>
            <w:tcBorders>
              <w:top w:val="single" w:color="D0D8D9" w:sz="1"/>
              <w:left w:val="single" w:color="D0D8D9" w:sz="1"/>
              <w:bottom w:val="single" w:color="D0D8D9" w:sz="1"/>
              <w:right w:val="single" w:color="D0D8D9" w:sz="1"/>
            </w:tcBorders>
            <w:shd w:fill="FFFFFF" w:val="clear"/>
            <w:tcMar>
              <w:top w:type="dxa" w:w="80"/>
              <w:left w:type="dxa" w:w="140"/>
              <w:bottom w:type="dxa" w:w="80"/>
              <w:right w:type="dxa" w:w="140"/>
            </w:tcMar>
          </w:tcPr>
          <w:p>
            <w:r>
              <w:rPr>
                <w:rFonts w:ascii="Arial" w:cs="Arial" w:eastAsia="Arial" w:hAnsi="Arial"/>
                <w:b/>
                <w:bCs/>
                <w:color w:val="1A1A1A"/>
                <w:sz w:val="19"/>
                <w:szCs w:val="19"/>
              </w:rPr>
              <w:t xml:space="preserve">Urgency signals</w:t>
            </w:r>
          </w:p>
        </w:tc>
        <w:tc>
          <w:tcPr>
            <w:tcW w:type="dxa" w:w="1648"/>
            <w:tcBorders>
              <w:top w:val="single" w:color="D0D8D9" w:sz="1"/>
              <w:left w:val="single" w:color="D0D8D9" w:sz="1"/>
              <w:bottom w:val="single" w:color="D0D8D9" w:sz="1"/>
              <w:right w:val="single" w:color="D0D8D9" w:sz="1"/>
            </w:tcBorders>
            <w:shd w:fill="FFFFFF" w:val="clear"/>
            <w:tcMar>
              <w:top w:type="dxa" w:w="80"/>
              <w:left w:type="dxa" w:w="140"/>
              <w:bottom w:type="dxa" w:w="80"/>
              <w:right w:type="dxa" w:w="140"/>
            </w:tcMar>
          </w:tcPr>
          <w:p>
            <w:r>
              <w:rPr>
                <w:rFonts w:ascii="Arial" w:cs="Arial" w:eastAsia="Arial" w:hAnsi="Arial"/>
                <w:b w:val="false"/>
                <w:bCs w:val="false"/>
                <w:color w:val="363636"/>
                <w:sz w:val="19"/>
                <w:szCs w:val="19"/>
              </w:rPr>
              <w:t xml:space="preserve">"Nur für kurze Zeit", "Restposten" (remaining stock) badges. No countdown timer.</w:t>
            </w:r>
          </w:p>
        </w:tc>
        <w:tc>
          <w:tcPr>
            <w:tcW w:type="dxa" w:w="1648"/>
            <w:tcBorders>
              <w:top w:val="single" w:color="D0D8D9" w:sz="1"/>
              <w:left w:val="single" w:color="D0D8D9" w:sz="1"/>
              <w:bottom w:val="single" w:color="D0D8D9" w:sz="1"/>
              <w:right w:val="single" w:color="D0D8D9" w:sz="1"/>
            </w:tcBorders>
            <w:shd w:fill="F4F8F9" w:val="clear"/>
            <w:tcMar>
              <w:top w:type="dxa" w:w="80"/>
              <w:left w:type="dxa" w:w="140"/>
              <w:bottom w:type="dxa" w:w="80"/>
              <w:right w:type="dxa" w:w="140"/>
            </w:tcMar>
          </w:tcPr>
          <w:p>
            <w:r>
              <w:rPr>
                <w:rFonts w:ascii="Arial" w:cs="Arial" w:eastAsia="Arial" w:hAnsi="Arial"/>
                <w:b w:val="false"/>
                <w:bCs w:val="false"/>
                <w:color w:val="363636"/>
                <w:sz w:val="19"/>
                <w:szCs w:val="19"/>
              </w:rPr>
              <w:t xml:space="preserve">"NUR 4 TAGE" countdown. Sale end date visible. Code expiry adds psychological pressure.</w:t>
            </w:r>
          </w:p>
        </w:tc>
        <w:tc>
          <w:tcPr>
            <w:tcW w:type="dxa" w:w="1648"/>
            <w:tcBorders>
              <w:top w:val="single" w:color="D0D8D9" w:sz="1"/>
              <w:left w:val="single" w:color="D0D8D9" w:sz="1"/>
              <w:bottom w:val="single" w:color="D0D8D9" w:sz="1"/>
              <w:right w:val="single" w:color="D0D8D9" w:sz="1"/>
            </w:tcBorders>
            <w:shd w:fill="FFFFFF" w:val="clear"/>
            <w:tcMar>
              <w:top w:type="dxa" w:w="80"/>
              <w:left w:type="dxa" w:w="140"/>
              <w:bottom w:type="dxa" w:w="80"/>
              <w:right w:type="dxa" w:w="140"/>
            </w:tcMar>
          </w:tcPr>
          <w:p>
            <w:r>
              <w:rPr>
                <w:rFonts w:ascii="Arial" w:cs="Arial" w:eastAsia="Arial" w:hAnsi="Arial"/>
                <w:b w:val="false"/>
                <w:bCs w:val="false"/>
                <w:color w:val="363636"/>
                <w:sz w:val="19"/>
                <w:szCs w:val="19"/>
              </w:rPr>
              <w:t xml:space="preserve">"Letzte Chance", "Zertifiziert generalüberholt". Soft scarcity, no timer.</w:t>
            </w:r>
          </w:p>
        </w:tc>
        <w:tc>
          <w:tcPr>
            <w:tcW w:type="dxa" w:w="1648"/>
            <w:tcBorders>
              <w:top w:val="single" w:color="D0D8D9" w:sz="1"/>
              <w:left w:val="single" w:color="D0D8D9" w:sz="1"/>
              <w:bottom w:val="single" w:color="D0D8D9" w:sz="1"/>
              <w:right w:val="single" w:color="D0D8D9" w:sz="1"/>
            </w:tcBorders>
            <w:shd w:fill="F4F8F9" w:val="clear"/>
            <w:tcMar>
              <w:top w:type="dxa" w:w="80"/>
              <w:left w:type="dxa" w:w="140"/>
              <w:bottom w:type="dxa" w:w="80"/>
              <w:right w:type="dxa" w:w="140"/>
            </w:tcMar>
          </w:tcPr>
          <w:p>
            <w:r>
              <w:rPr>
                <w:rFonts w:ascii="Arial" w:cs="Arial" w:eastAsia="Arial" w:hAnsi="Arial"/>
                <w:b w:val="false"/>
                <w:bCs w:val="false"/>
                <w:color w:val="363636"/>
                <w:sz w:val="19"/>
                <w:szCs w:val="19"/>
              </w:rPr>
              <w:t xml:space="preserve">Promotion end date ("bis 31. Juli"). Limited-time bundle deals. No hard countdown.</w:t>
            </w:r>
          </w:p>
        </w:tc>
        <w:tc>
          <w:tcPr>
            <w:tcW w:type="dxa" w:w="1648"/>
            <w:tcBorders>
              <w:top w:val="single" w:color="D0D8D9" w:sz="1"/>
              <w:left w:val="single" w:color="D0D8D9" w:sz="1"/>
              <w:bottom w:val="single" w:color="D0D8D9" w:sz="1"/>
              <w:right w:val="single" w:color="D0D8D9" w:sz="1"/>
            </w:tcBorders>
            <w:shd w:fill="FFFFFF" w:val="clear"/>
            <w:tcMar>
              <w:top w:type="dxa" w:w="80"/>
              <w:left w:type="dxa" w:w="140"/>
              <w:bottom w:type="dxa" w:w="80"/>
              <w:right w:type="dxa" w:w="140"/>
            </w:tcMar>
          </w:tcPr>
          <w:p>
            <w:r>
              <w:rPr>
                <w:rFonts w:ascii="Arial" w:cs="Arial" w:eastAsia="Arial" w:hAnsi="Arial"/>
                <w:b w:val="false"/>
                <w:bCs w:val="false"/>
                <w:color w:val="363636"/>
                <w:sz w:val="19"/>
                <w:szCs w:val="19"/>
              </w:rPr>
              <w:t xml:space="preserve">Flash sale badges, "Heute sparen". Limited-time language varies by campaign.</w:t>
            </w:r>
          </w:p>
        </w:tc>
      </w:tr>
      <w:tr>
        <w:tc>
          <w:tcPr>
            <w:tcW w:type="dxa" w:w="1600"/>
            <w:tcBorders>
              <w:top w:val="single" w:color="D0D8D9" w:sz="1"/>
              <w:left w:val="single" w:color="D0D8D9" w:sz="1"/>
              <w:bottom w:val="single" w:color="D0D8D9" w:sz="1"/>
              <w:right w:val="single" w:color="D0D8D9" w:sz="1"/>
            </w:tcBorders>
            <w:shd w:fill="F4F8F9" w:val="clear"/>
            <w:tcMar>
              <w:top w:type="dxa" w:w="80"/>
              <w:left w:type="dxa" w:w="140"/>
              <w:bottom w:type="dxa" w:w="80"/>
              <w:right w:type="dxa" w:w="140"/>
            </w:tcMar>
          </w:tcPr>
          <w:p>
            <w:r>
              <w:rPr>
                <w:rFonts w:ascii="Arial" w:cs="Arial" w:eastAsia="Arial" w:hAnsi="Arial"/>
                <w:b/>
                <w:bCs/>
                <w:color w:val="1A1A1A"/>
                <w:sz w:val="19"/>
                <w:szCs w:val="19"/>
              </w:rPr>
              <w:t xml:space="preserve">Mobile above fold</w:t>
            </w:r>
          </w:p>
        </w:tc>
        <w:tc>
          <w:tcPr>
            <w:tcW w:type="dxa" w:w="1648"/>
            <w:tcBorders>
              <w:top w:val="single" w:color="D0D8D9" w:sz="1"/>
              <w:left w:val="single" w:color="D0D8D9" w:sz="1"/>
              <w:bottom w:val="single" w:color="D0D8D9" w:sz="1"/>
              <w:right w:val="single" w:color="D0D8D9" w:sz="1"/>
            </w:tcBorders>
            <w:shd w:fill="F4F8F9" w:val="clear"/>
            <w:tcMar>
              <w:top w:type="dxa" w:w="80"/>
              <w:left w:type="dxa" w:w="140"/>
              <w:bottom w:type="dxa" w:w="80"/>
              <w:right w:type="dxa" w:w="140"/>
            </w:tcMar>
          </w:tcPr>
          <w:p>
            <w:r>
              <w:rPr>
                <w:rFonts w:ascii="Arial" w:cs="Arial" w:eastAsia="Arial" w:hAnsi="Arial"/>
                <w:b w:val="false"/>
                <w:bCs w:val="false"/>
                <w:color w:val="363636"/>
                <w:sz w:val="19"/>
                <w:szCs w:val="19"/>
              </w:rPr>
              <w:t xml:space="preserve">Product cards require scrolling. CTA below fold on mobile.</w:t>
            </w:r>
          </w:p>
        </w:tc>
        <w:tc>
          <w:tcPr>
            <w:tcW w:type="dxa" w:w="1648"/>
            <w:tcBorders>
              <w:top w:val="single" w:color="D0D8D9" w:sz="1"/>
              <w:left w:val="single" w:color="D0D8D9" w:sz="1"/>
              <w:bottom w:val="single" w:color="D0D8D9" w:sz="1"/>
              <w:right w:val="single" w:color="D0D8D9" w:sz="1"/>
            </w:tcBorders>
            <w:shd w:fill="FFFFFF" w:val="clear"/>
            <w:tcMar>
              <w:top w:type="dxa" w:w="80"/>
              <w:left w:type="dxa" w:w="140"/>
              <w:bottom w:type="dxa" w:w="80"/>
              <w:right w:type="dxa" w:w="140"/>
            </w:tcMar>
          </w:tcPr>
          <w:p>
            <w:r>
              <w:rPr>
                <w:rFonts w:ascii="Arial" w:cs="Arial" w:eastAsia="Arial" w:hAnsi="Arial"/>
                <w:b w:val="false"/>
                <w:bCs w:val="false"/>
                <w:color w:val="363636"/>
                <w:sz w:val="19"/>
                <w:szCs w:val="19"/>
              </w:rPr>
              <w:t xml:space="preserve">Sale banner visible. Prominent CTA above fold. Strong mobile optimisation.</w:t>
            </w:r>
          </w:p>
        </w:tc>
        <w:tc>
          <w:tcPr>
            <w:tcW w:type="dxa" w:w="1648"/>
            <w:tcBorders>
              <w:top w:val="single" w:color="D0D8D9" w:sz="1"/>
              <w:left w:val="single" w:color="D0D8D9" w:sz="1"/>
              <w:bottom w:val="single" w:color="D0D8D9" w:sz="1"/>
              <w:right w:val="single" w:color="D0D8D9" w:sz="1"/>
            </w:tcBorders>
            <w:shd w:fill="F4F8F9" w:val="clear"/>
            <w:tcMar>
              <w:top w:type="dxa" w:w="80"/>
              <w:left w:type="dxa" w:w="140"/>
              <w:bottom w:type="dxa" w:w="80"/>
              <w:right w:type="dxa" w:w="140"/>
            </w:tcMar>
          </w:tcPr>
          <w:p>
            <w:r>
              <w:rPr>
                <w:rFonts w:ascii="Arial" w:cs="Arial" w:eastAsia="Arial" w:hAnsi="Arial"/>
                <w:b w:val="false"/>
                <w:bCs w:val="false"/>
                <w:color w:val="363636"/>
                <w:sz w:val="19"/>
                <w:szCs w:val="19"/>
              </w:rPr>
              <w:t xml:space="preserve">Hero with bundle grid. CTA accessible but secondary. Comparison tools work on mobile.</w:t>
            </w:r>
          </w:p>
        </w:tc>
        <w:tc>
          <w:tcPr>
            <w:tcW w:type="dxa" w:w="1648"/>
            <w:tcBorders>
              <w:top w:val="single" w:color="D0D8D9" w:sz="1"/>
              <w:left w:val="single" w:color="D0D8D9" w:sz="1"/>
              <w:bottom w:val="single" w:color="D0D8D9" w:sz="1"/>
              <w:right w:val="single" w:color="D0D8D9" w:sz="1"/>
            </w:tcBorders>
            <w:shd w:fill="FFFFFF" w:val="clear"/>
            <w:tcMar>
              <w:top w:type="dxa" w:w="80"/>
              <w:left w:type="dxa" w:w="140"/>
              <w:bottom w:type="dxa" w:w="80"/>
              <w:right w:type="dxa" w:w="140"/>
            </w:tcMar>
          </w:tcPr>
          <w:p>
            <w:r>
              <w:rPr>
                <w:rFonts w:ascii="Arial" w:cs="Arial" w:eastAsia="Arial" w:hAnsi="Arial"/>
                <w:b w:val="false"/>
                <w:bCs w:val="false"/>
                <w:color w:val="363636"/>
                <w:sz w:val="19"/>
                <w:szCs w:val="19"/>
              </w:rPr>
              <w:t xml:space="preserve">Category filter visible. Product cards load above fold. Standard mobile carousel.</w:t>
            </w:r>
          </w:p>
        </w:tc>
        <w:tc>
          <w:tcPr>
            <w:tcW w:type="dxa" w:w="1648"/>
            <w:tcBorders>
              <w:top w:val="single" w:color="D0D8D9" w:sz="1"/>
              <w:left w:val="single" w:color="D0D8D9" w:sz="1"/>
              <w:bottom w:val="single" w:color="D0D8D9" w:sz="1"/>
              <w:right w:val="single" w:color="D0D8D9" w:sz="1"/>
            </w:tcBorders>
            <w:shd w:fill="F4F8F9" w:val="clear"/>
            <w:tcMar>
              <w:top w:type="dxa" w:w="80"/>
              <w:left w:type="dxa" w:w="140"/>
              <w:bottom w:type="dxa" w:w="80"/>
              <w:right w:type="dxa" w:w="140"/>
            </w:tcMar>
          </w:tcPr>
          <w:p>
            <w:r>
              <w:rPr>
                <w:rFonts w:ascii="Arial" w:cs="Arial" w:eastAsia="Arial" w:hAnsi="Arial"/>
                <w:b w:val="false"/>
                <w:bCs w:val="false"/>
                <w:color w:val="363636"/>
                <w:sz w:val="19"/>
                <w:szCs w:val="19"/>
              </w:rPr>
              <w:t xml:space="preserve">Sale filter visible above fold. Product tiles with CTAs accessible.</w:t>
            </w:r>
          </w:p>
        </w:tc>
      </w:tr>
      <w:tr>
        <w:tc>
          <w:tcPr>
            <w:tcW w:type="dxa" w:w="1600"/>
            <w:tcBorders>
              <w:top w:val="single" w:color="D0D8D9" w:sz="1"/>
              <w:left w:val="single" w:color="D0D8D9" w:sz="1"/>
              <w:bottom w:val="single" w:color="D0D8D9" w:sz="1"/>
              <w:right w:val="single" w:color="D0D8D9" w:sz="1"/>
            </w:tcBorders>
            <w:shd w:fill="FFFFFF" w:val="clear"/>
            <w:tcMar>
              <w:top w:type="dxa" w:w="80"/>
              <w:left w:type="dxa" w:w="140"/>
              <w:bottom w:type="dxa" w:w="80"/>
              <w:right w:type="dxa" w:w="140"/>
            </w:tcMar>
          </w:tcPr>
          <w:p>
            <w:r>
              <w:rPr>
                <w:rFonts w:ascii="Arial" w:cs="Arial" w:eastAsia="Arial" w:hAnsi="Arial"/>
                <w:b/>
                <w:bCs/>
                <w:color w:val="1A1A1A"/>
                <w:sz w:val="19"/>
                <w:szCs w:val="19"/>
              </w:rPr>
              <w:t xml:space="preserve">Structural strength</w:t>
            </w:r>
          </w:p>
        </w:tc>
        <w:tc>
          <w:tcPr>
            <w:tcW w:type="dxa" w:w="1648"/>
            <w:tcBorders>
              <w:top w:val="single" w:color="D0D8D9" w:sz="1"/>
              <w:left w:val="single" w:color="D0D8D9" w:sz="1"/>
              <w:bottom w:val="single" w:color="D0D8D9" w:sz="1"/>
              <w:right w:val="single" w:color="D0D8D9" w:sz="1"/>
            </w:tcBorders>
            <w:shd w:fill="FFFFFF" w:val="clear"/>
            <w:tcMar>
              <w:top w:type="dxa" w:w="80"/>
              <w:left w:type="dxa" w:w="140"/>
              <w:bottom w:type="dxa" w:w="80"/>
              <w:right w:type="dxa" w:w="140"/>
            </w:tcMar>
          </w:tcPr>
          <w:p>
            <w:r>
              <w:rPr>
                <w:rFonts w:ascii="Arial" w:cs="Arial" w:eastAsia="Arial" w:hAnsi="Arial"/>
                <w:b w:val="false"/>
                <w:bCs w:val="false"/>
                <w:color w:val="363636"/>
                <w:sz w:val="19"/>
                <w:szCs w:val="19"/>
              </w:rPr>
              <w:t xml:space="preserve">Good product hierarchy. Weak dedicated soundbar promotion zone.</w:t>
            </w:r>
          </w:p>
        </w:tc>
        <w:tc>
          <w:tcPr>
            <w:tcW w:type="dxa" w:w="1648"/>
            <w:tcBorders>
              <w:top w:val="single" w:color="D0D8D9" w:sz="1"/>
              <w:left w:val="single" w:color="D0D8D9" w:sz="1"/>
              <w:bottom w:val="single" w:color="D0D8D9" w:sz="1"/>
              <w:right w:val="single" w:color="D0D8D9" w:sz="1"/>
            </w:tcBorders>
            <w:shd w:fill="F4F8F9" w:val="clear"/>
            <w:tcMar>
              <w:top w:type="dxa" w:w="80"/>
              <w:left w:type="dxa" w:w="140"/>
              <w:bottom w:type="dxa" w:w="80"/>
              <w:right w:type="dxa" w:w="140"/>
            </w:tcMar>
          </w:tcPr>
          <w:p>
            <w:r>
              <w:rPr>
                <w:rFonts w:ascii="Arial" w:cs="Arial" w:eastAsia="Arial" w:hAnsi="Arial"/>
                <w:b w:val="false"/>
                <w:bCs w:val="false"/>
                <w:color w:val="363636"/>
                <w:sz w:val="19"/>
                <w:szCs w:val="19"/>
              </w:rPr>
              <w:t xml:space="preserve">Best-in-class urgency mechanics. Extended return window builds confidence.</w:t>
            </w:r>
          </w:p>
        </w:tc>
        <w:tc>
          <w:tcPr>
            <w:tcW w:type="dxa" w:w="1648"/>
            <w:tcBorders>
              <w:top w:val="single" w:color="D0D8D9" w:sz="1"/>
              <w:left w:val="single" w:color="D0D8D9" w:sz="1"/>
              <w:bottom w:val="single" w:color="D0D8D9" w:sz="1"/>
              <w:right w:val="single" w:color="D0D8D9" w:sz="1"/>
            </w:tcBorders>
            <w:shd w:fill="FFFFFF" w:val="clear"/>
            <w:tcMar>
              <w:top w:type="dxa" w:w="80"/>
              <w:left w:type="dxa" w:w="140"/>
              <w:bottom w:type="dxa" w:w="80"/>
              <w:right w:type="dxa" w:w="140"/>
            </w:tcMar>
          </w:tcPr>
          <w:p>
            <w:r>
              <w:rPr>
                <w:rFonts w:ascii="Arial" w:cs="Arial" w:eastAsia="Arial" w:hAnsi="Arial"/>
                <w:b w:val="false"/>
                <w:bCs w:val="false"/>
                <w:color w:val="363636"/>
                <w:sz w:val="19"/>
                <w:szCs w:val="19"/>
              </w:rPr>
              <w:t xml:space="preserve">Best-in-class comparison UX. Bundle architecture drives average order value.</w:t>
            </w:r>
          </w:p>
        </w:tc>
        <w:tc>
          <w:tcPr>
            <w:tcW w:type="dxa" w:w="1648"/>
            <w:tcBorders>
              <w:top w:val="single" w:color="D0D8D9" w:sz="1"/>
              <w:left w:val="single" w:color="D0D8D9" w:sz="1"/>
              <w:bottom w:val="single" w:color="D0D8D9" w:sz="1"/>
              <w:right w:val="single" w:color="D0D8D9" w:sz="1"/>
            </w:tcBorders>
            <w:shd w:fill="F4F8F9" w:val="clear"/>
            <w:tcMar>
              <w:top w:type="dxa" w:w="80"/>
              <w:left w:type="dxa" w:w="140"/>
              <w:bottom w:type="dxa" w:w="80"/>
              <w:right w:type="dxa" w:w="140"/>
            </w:tcMar>
          </w:tcPr>
          <w:p>
            <w:r>
              <w:rPr>
                <w:rFonts w:ascii="Arial" w:cs="Arial" w:eastAsia="Arial" w:hAnsi="Arial"/>
                <w:b w:val="false"/>
                <w:bCs w:val="false"/>
                <w:color w:val="363636"/>
                <w:sz w:val="19"/>
                <w:szCs w:val="19"/>
              </w:rPr>
              <w:t xml:space="preserve">Ecosystem integration (Q-Symphony with Samsung TV) is a powerful conversion angle for existing Samsung owners.</w:t>
            </w:r>
          </w:p>
        </w:tc>
        <w:tc>
          <w:tcPr>
            <w:tcW w:type="dxa" w:w="1648"/>
            <w:tcBorders>
              <w:top w:val="single" w:color="D0D8D9" w:sz="1"/>
              <w:left w:val="single" w:color="D0D8D9" w:sz="1"/>
              <w:bottom w:val="single" w:color="D0D8D9" w:sz="1"/>
              <w:right w:val="single" w:color="D0D8D9" w:sz="1"/>
            </w:tcBorders>
            <w:shd w:fill="FFFFFF" w:val="clear"/>
            <w:tcMar>
              <w:top w:type="dxa" w:w="80"/>
              <w:left w:type="dxa" w:w="140"/>
              <w:bottom w:type="dxa" w:w="80"/>
              <w:right w:type="dxa" w:w="140"/>
            </w:tcMar>
          </w:tcPr>
          <w:p>
            <w:r>
              <w:rPr>
                <w:rFonts w:ascii="Arial" w:cs="Arial" w:eastAsia="Arial" w:hAnsi="Arial"/>
                <w:b w:val="false"/>
                <w:bCs w:val="false"/>
                <w:color w:val="363636"/>
                <w:sz w:val="19"/>
                <w:szCs w:val="19"/>
              </w:rPr>
              <w:t xml:space="preserve">Price-tier architecture maps buyer budget quickly. "Bar" line has strong category recognition.</w:t>
            </w:r>
          </w:p>
        </w:tc>
      </w:tr>
    </w:tbl>
    <w:p>
      <w:pPr>
        <w:spacing w:after="240"/>
      </w:pPr>
    </w:p>
    <w:p>
      <w:pPr>
        <w:pStyle w:val="Heading2"/>
        <w:spacing w:before="320" w:after="140"/>
      </w:pPr>
      <w:r>
        <w:rPr>
          <w:rFonts w:ascii="Arial Black" w:cs="Arial Black" w:eastAsia="Arial Black" w:hAnsi="Arial Black"/>
          <w:b/>
          <w:bCs/>
          <w:color w:val="1A1A1A"/>
          <w:sz w:val="28"/>
          <w:szCs w:val="28"/>
        </w:rPr>
        <w:t xml:space="preserve">1.2 Brand-by-Brand Analysis</w:t>
      </w:r>
    </w:p>
    <w:p>
      <w:pPr>
        <w:pStyle w:val="Heading3"/>
        <w:spacing w:before="240" w:after="100"/>
      </w:pPr>
      <w:r>
        <w:rPr>
          <w:rFonts w:ascii="Arial" w:cs="Arial" w:eastAsia="Arial" w:hAnsi="Arial"/>
          <w:b/>
          <w:bCs/>
          <w:color w:val="0F6B72"/>
          <w:sz w:val="24"/>
          <w:szCs w:val="24"/>
        </w:rPr>
        <w:t xml:space="preserve">Bose.de — Best-in-class urgency + returns</w:t>
      </w:r>
    </w:p>
    <w:p>
      <w:pPr>
        <w:spacing w:before="60" w:after="120" w:line="276"/>
      </w:pPr>
      <w:r>
        <w:rPr>
          <w:rFonts w:ascii="Arial" w:cs="Arial" w:eastAsia="Arial" w:hAnsi="Arial"/>
          <w:color w:val="363636"/>
          <w:sz w:val="22"/>
          <w:szCs w:val="22"/>
        </w:rPr>
        <w:t xml:space="preserve">Bose runs perpetual promotional mechanics: sale codes ("FLASH"), explicit countdowns ("NUR 4 TAGE"), and a 90-day return window that is nearly triple the DACH retail standard. The result is a page that removes every major conversion blocker simultaneously: "Is it a good price?" (code + countdown), "Can I return it?" (90 days), "Is the brand reliable?" (Trustpilot + review counts with stars prominently shown). The extended return window is their single most distinctive trust signal and converts hesitant mid-range buyers more reliably than any headline.</w:t>
      </w:r>
    </w:p>
    <w:p>
      <w:pPr>
        <w:shd w:fill="D0EAEC" w:color="auto" w:val="clear"/>
        <w:spacing w:before="200" w:after="200"/>
        <w:ind w:left="360" w:right="360"/>
      </w:pPr>
      <w:r>
        <w:rPr>
          <w:rFonts w:ascii="Arial" w:cs="Arial" w:eastAsia="Arial" w:hAnsi="Arial"/>
          <w:b/>
          <w:bCs/>
          <w:color w:val="1A1A1A"/>
          <w:sz w:val="22"/>
          <w:szCs w:val="22"/>
        </w:rPr>
        <w:t xml:space="preserve">What to adopt: </w:t>
      </w:r>
      <w:r>
        <w:rPr>
          <w:rFonts w:ascii="Arial" w:cs="Arial" w:eastAsia="Arial" w:hAnsi="Arial"/>
          <w:color w:val="363636"/>
          <w:sz w:val="22"/>
          <w:szCs w:val="22"/>
        </w:rPr>
        <w:t xml:space="preserve">90-day return window or "30-day risk-free" framing. Code-driven discounts add perceived exclusivity. Explicit countdown with real end date.</w:t>
      </w:r>
    </w:p>
    <w:p>
      <w:pPr>
        <w:spacing w:after="80"/>
      </w:pPr>
    </w:p>
    <w:p>
      <w:pPr>
        <w:pStyle w:val="Heading3"/>
        <w:spacing w:before="240" w:after="100"/>
      </w:pPr>
      <w:r>
        <w:rPr>
          <w:rFonts w:ascii="Arial" w:cs="Arial" w:eastAsia="Arial" w:hAnsi="Arial"/>
          <w:b/>
          <w:bCs/>
          <w:color w:val="0F6B72"/>
          <w:sz w:val="24"/>
          <w:szCs w:val="24"/>
        </w:rPr>
        <w:t xml:space="preserve">Sonos.de — Comparison-first UX + bundle architecture</w:t>
      </w:r>
    </w:p>
    <w:p>
      <w:pPr>
        <w:spacing w:before="60" w:after="120" w:line="276"/>
      </w:pPr>
      <w:r>
        <w:rPr>
          <w:rFonts w:ascii="Arial" w:cs="Arial" w:eastAsia="Arial" w:hAnsi="Arial"/>
          <w:color w:val="363636"/>
          <w:sz w:val="22"/>
          <w:szCs w:val="22"/>
        </w:rPr>
        <w:t xml:space="preserve">Sonos bets on the considered buyer. Nearly every element says "take your time": multiple comparison buttons, tier labels ("Top Preis-Leistung"), certified refurbished options. The page architecture is bundle-first — 18 sets vs 3 individual soundbars — which expands the basket and defuses price sensitivity ("the set is the deal"). The lifestyle headline ("Herzstück deines Entertainments") positions the soundbar as home infrastructure, not a gadget.</w:t>
      </w:r>
    </w:p>
    <w:p>
      <w:pPr>
        <w:shd w:fill="D0EAEC" w:color="auto" w:val="clear"/>
        <w:spacing w:before="200" w:after="200"/>
        <w:ind w:left="360" w:right="360"/>
      </w:pPr>
      <w:r>
        <w:rPr>
          <w:rFonts w:ascii="Arial" w:cs="Arial" w:eastAsia="Arial" w:hAnsi="Arial"/>
          <w:b/>
          <w:bCs/>
          <w:color w:val="1A1A1A"/>
          <w:sz w:val="22"/>
          <w:szCs w:val="22"/>
        </w:rPr>
        <w:t xml:space="preserve">What to adopt: </w:t>
      </w:r>
      <w:r>
        <w:rPr>
          <w:rFonts w:ascii="Arial" w:cs="Arial" w:eastAsia="Arial" w:hAnsi="Arial"/>
          <w:color w:val="363636"/>
          <w:sz w:val="22"/>
          <w:szCs w:val="22"/>
        </w:rPr>
        <w:t xml:space="preserve">Bundle + subwoofer set framing for mid-range models. "Top Preis-Leistung" label on the hero SKU. Comparison functionality for undecided shoppers.</w:t>
      </w:r>
    </w:p>
    <w:p>
      <w:pPr>
        <w:spacing w:after="80"/>
      </w:pPr>
    </w:p>
    <w:p>
      <w:pPr>
        <w:pStyle w:val="Heading3"/>
        <w:spacing w:before="240" w:after="100"/>
      </w:pPr>
      <w:r>
        <w:rPr>
          <w:rFonts w:ascii="Arial" w:cs="Arial" w:eastAsia="Arial" w:hAnsi="Arial"/>
          <w:b/>
          <w:bCs/>
          <w:color w:val="0F6B72"/>
          <w:sz w:val="24"/>
          <w:szCs w:val="24"/>
        </w:rPr>
        <w:t xml:space="preserve">Samsung.de — Ecosystem lock-in + Stiftung Warentest</w:t>
      </w:r>
    </w:p>
    <w:p>
      <w:pPr>
        <w:spacing w:before="60" w:after="120" w:line="276"/>
      </w:pPr>
      <w:r>
        <w:rPr>
          <w:rFonts w:ascii="Arial" w:cs="Arial" w:eastAsia="Arial" w:hAnsi="Arial"/>
          <w:color w:val="363636"/>
          <w:sz w:val="22"/>
          <w:szCs w:val="22"/>
        </w:rPr>
        <w:t xml:space="preserve">Samsung's conversion mechanic is integration: if you own a Samsung TV, the Q-Symphony integration is a genuine reason to buy. They amplify this with bundle streaming services (Netflix, Magenta TV) that feel like bonus value rather than discount. Critically, they actively promote Stiftung Warentest rankings — "HW-Q935GF Testsieger" is front and centre. For DACH buyers, this third-party validation outweighs any amount of self-promotion.</w:t>
      </w:r>
    </w:p>
    <w:p>
      <w:pPr>
        <w:shd w:fill="D0EAEC" w:color="auto" w:val="clear"/>
        <w:spacing w:before="200" w:after="200"/>
        <w:ind w:left="360" w:right="360"/>
      </w:pPr>
      <w:r>
        <w:rPr>
          <w:rFonts w:ascii="Arial" w:cs="Arial" w:eastAsia="Arial" w:hAnsi="Arial"/>
          <w:b/>
          <w:bCs/>
          <w:color w:val="1A1A1A"/>
          <w:sz w:val="22"/>
          <w:szCs w:val="22"/>
        </w:rPr>
        <w:t xml:space="preserve">What to adopt: </w:t>
      </w:r>
      <w:r>
        <w:rPr>
          <w:rFonts w:ascii="Arial" w:cs="Arial" w:eastAsia="Arial" w:hAnsi="Arial"/>
          <w:color w:val="363636"/>
          <w:sz w:val="22"/>
          <w:szCs w:val="22"/>
        </w:rPr>
        <w:t xml:space="preserve">Stiftung Warentest score in the hero trust bar (not buried in product detail). "Kompatibel mit Ihrem TV" framing for compatibility reassurance.</w:t>
      </w:r>
    </w:p>
    <w:p>
      <w:pPr>
        <w:spacing w:after="80"/>
      </w:pPr>
    </w:p>
    <w:p>
      <w:pPr>
        <w:pStyle w:val="Heading3"/>
        <w:spacing w:before="240" w:after="100"/>
      </w:pPr>
      <w:r>
        <w:rPr>
          <w:rFonts w:ascii="Arial" w:cs="Arial" w:eastAsia="Arial" w:hAnsi="Arial"/>
          <w:b/>
          <w:bCs/>
          <w:color w:val="0F6B72"/>
          <w:sz w:val="24"/>
          <w:szCs w:val="24"/>
        </w:rPr>
        <w:t xml:space="preserve">JBL.de — Price-tier architecture + flash mechanics</w:t>
      </w:r>
    </w:p>
    <w:p>
      <w:pPr>
        <w:spacing w:before="60" w:after="120" w:line="276"/>
      </w:pPr>
      <w:r>
        <w:rPr>
          <w:rFonts w:ascii="Arial" w:cs="Arial" w:eastAsia="Arial" w:hAnsi="Arial"/>
          <w:color w:val="363636"/>
          <w:sz w:val="22"/>
          <w:szCs w:val="22"/>
        </w:rPr>
        <w:t xml:space="preserve">JBL owns price-tier clarity better than any competitor. Their category page is essentially a budget filter: "Soundbar unter €200", "Soundbar bis €300". This immediately answers the DACH buyer's first question ("How much am I spending?") before they even read a headline. Flash sale badges on individual products create localised urgency without needing a site-wide countdown. Strong "Bar" family recognition means lower entry friction.</w:t>
      </w:r>
    </w:p>
    <w:p>
      <w:pPr>
        <w:shd w:fill="D0EAEC" w:color="auto" w:val="clear"/>
        <w:spacing w:before="200" w:after="200"/>
        <w:ind w:left="360" w:right="360"/>
      </w:pPr>
      <w:r>
        <w:rPr>
          <w:rFonts w:ascii="Arial" w:cs="Arial" w:eastAsia="Arial" w:hAnsi="Arial"/>
          <w:b/>
          <w:bCs/>
          <w:color w:val="1A1A1A"/>
          <w:sz w:val="22"/>
          <w:szCs w:val="22"/>
        </w:rPr>
        <w:t xml:space="preserve">What to adopt: </w:t>
      </w:r>
      <w:r>
        <w:rPr>
          <w:rFonts w:ascii="Arial" w:cs="Arial" w:eastAsia="Arial" w:hAnsi="Arial"/>
          <w:color w:val="363636"/>
          <w:sz w:val="22"/>
          <w:szCs w:val="22"/>
        </w:rPr>
        <w:t xml:space="preserve">Price-tier labelling in the product section. Flash badge on the hero SKU. "Kostenlose Lieferung" in the trust bar (JBL makes this very visible).</w:t>
      </w:r>
    </w:p>
    <w:p>
      <w:pPr>
        <w:spacing w:after="80"/>
      </w:pPr>
    </w:p>
    <w:p>
      <w:pPr>
        <w:pStyle w:val="Heading3"/>
        <w:spacing w:before="240" w:after="100"/>
      </w:pPr>
      <w:r>
        <w:rPr>
          <w:rFonts w:ascii="Arial" w:cs="Arial" w:eastAsia="Arial" w:hAnsi="Arial"/>
          <w:b/>
          <w:bCs/>
          <w:color w:val="0F6B72"/>
          <w:sz w:val="24"/>
          <w:szCs w:val="24"/>
        </w:rPr>
        <w:t xml:space="preserve">Teufel.de — Current baseline</w:t>
      </w:r>
    </w:p>
    <w:p>
      <w:pPr>
        <w:spacing w:before="60" w:after="120" w:line="276"/>
      </w:pPr>
      <w:r>
        <w:rPr>
          <w:rFonts w:ascii="Arial" w:cs="Arial" w:eastAsia="Arial" w:hAnsi="Arial"/>
          <w:color w:val="363636"/>
          <w:sz w:val="22"/>
          <w:szCs w:val="22"/>
        </w:rPr>
        <w:t xml:space="preserve">Teufel's sale page does the pricing mechanics right (three-tier price display, "Restposten" badges) but underperforms on two critical dimensions: there is no sticky CTA on desktop or mobile, and soundbars are embedded in the general sale grid alongside headphones and Bluetooth speakers — no dedicated soundbar promotion zone. The financing message ("100% Sound. 0% Finanzierung") is smart but displaces the discount headline. A dedicated seasonal soundbar LP would outperform the current sale page significantly.</w:t>
      </w:r>
    </w:p>
    <w:p>
      <w:pPr>
        <w:shd w:fill="FFF3CD" w:color="auto" w:val="clear"/>
        <w:spacing w:before="200" w:after="200"/>
        <w:ind w:left="360" w:right="360"/>
      </w:pPr>
      <w:r>
        <w:rPr>
          <w:rFonts w:ascii="Arial" w:cs="Arial" w:eastAsia="Arial" w:hAnsi="Arial"/>
          <w:b/>
          <w:bCs/>
          <w:color w:val="1A1A1A"/>
          <w:sz w:val="22"/>
          <w:szCs w:val="22"/>
        </w:rPr>
        <w:t xml:space="preserve">Gap to close: </w:t>
      </w:r>
      <w:r>
        <w:rPr>
          <w:rFonts w:ascii="Arial" w:cs="Arial" w:eastAsia="Arial" w:hAnsi="Arial"/>
          <w:color w:val="363636"/>
          <w:sz w:val="22"/>
          <w:szCs w:val="22"/>
        </w:rPr>
        <w:t xml:space="preserve">Dedicated soundbar LP with sticky CTA, explicit countdown if sale period is fixed, and soundbar-specific hero copy. Financing as secondary message, not primary.</w:t>
      </w:r>
    </w:p>
    <w:p>
      <w:pPr>
        <w:spacing w:after="320"/>
      </w:pPr>
    </w:p>
    <w:p>
      <w:r>
        <w:br w:type="page"/>
      </w:r>
    </w:p>
    <w:p>
      <w:pPr>
        <w:pStyle w:val="Heading1"/>
        <w:spacing w:before="600" w:after="200"/>
      </w:pPr>
      <w:r>
        <w:rPr>
          <w:rFonts w:ascii="Arial Black" w:cs="Arial Black" w:eastAsia="Arial Black" w:hAnsi="Arial Black"/>
          <w:b/>
          <w:bCs/>
          <w:color w:val="0A4A4E"/>
          <w:sz w:val="36"/>
          <w:szCs w:val="36"/>
        </w:rPr>
        <w:t xml:space="preserve">2 — What Converts in This Category</w:t>
      </w:r>
    </w:p>
    <w:p>
      <w:pPr>
        <w:pStyle w:val="Heading2"/>
        <w:spacing w:before="320" w:after="140"/>
      </w:pPr>
      <w:r>
        <w:rPr>
          <w:rFonts w:ascii="Arial Black" w:cs="Arial Black" w:eastAsia="Arial Black" w:hAnsi="Arial Black"/>
          <w:b/>
          <w:bCs/>
          <w:color w:val="1A1A1A"/>
          <w:sz w:val="28"/>
          <w:szCs w:val="28"/>
        </w:rPr>
        <w:t xml:space="preserve">2.1 The DACH Buyer's Decision Hierarchy</w:t>
      </w:r>
    </w:p>
    <w:p>
      <w:pPr>
        <w:spacing w:before="60" w:after="120" w:line="276"/>
      </w:pPr>
      <w:r>
        <w:rPr>
          <w:rFonts w:ascii="Arial" w:cs="Arial" w:eastAsia="Arial" w:hAnsi="Arial"/>
          <w:color w:val="363636"/>
          <w:sz w:val="22"/>
          <w:szCs w:val="22"/>
        </w:rPr>
        <w:t xml:space="preserve">Based on Statista consumer research (Germany, 2025, n=approx. 8,000) [1], the hierarchy is clear. Value and quality lead; brand alone does not close. [HIGH confidence]</w:t>
      </w:r>
    </w:p>
    <w:p>
      <w:pPr>
        <w:spacing w:after="80"/>
      </w:pPr>
    </w:p>
    <w:tbl>
      <w:tblPr>
        <w:tblW w:type="dxa" w:w="9840"/>
        <w:tblBorders>
          <w:top w:val="single" w:color="auto" w:sz="4"/>
          <w:left w:val="single" w:color="auto" w:sz="4"/>
          <w:bottom w:val="single" w:color="auto" w:sz="4"/>
          <w:right w:val="single" w:color="auto" w:sz="4"/>
          <w:insideH w:val="single" w:color="auto" w:sz="4"/>
          <w:insideV w:val="single" w:color="auto" w:sz="4"/>
        </w:tblBorders>
      </w:tblPr>
      <w:tblGrid>
        <w:gridCol w:w="3600"/>
        <w:gridCol w:w="1800"/>
        <w:gridCol w:w="4440"/>
      </w:tblGrid>
      <w:tr>
        <w:trPr>
          <w:tblHeader/>
        </w:trPr>
        <w:tc>
          <w:tcPr>
            <w:tcW w:type="dxa" w:w="3600"/>
            <w:tcBorders>
              <w:top w:val="single" w:color="0F6B72" w:sz="1"/>
              <w:left w:val="single" w:color="0F6B72" w:sz="1"/>
              <w:bottom w:val="single" w:color="0F6B72" w:sz="1"/>
              <w:right w:val="single" w:color="0F6B72" w:sz="1"/>
            </w:tcBorders>
            <w:shd w:fill="0F6B72" w:val="clear"/>
            <w:tcMar>
              <w:top w:type="dxa" w:w="100"/>
              <w:left w:type="dxa" w:w="140"/>
              <w:bottom w:type="dxa" w:w="100"/>
              <w:right w:type="dxa" w:w="140"/>
            </w:tcMar>
            <w:vAlign w:val="center"/>
          </w:tcPr>
          <w:p>
            <w:r>
              <w:rPr>
                <w:rFonts w:ascii="Arial" w:cs="Arial" w:eastAsia="Arial" w:hAnsi="Arial"/>
                <w:b/>
                <w:bCs/>
                <w:color w:val="FFFFFF"/>
                <w:sz w:val="19"/>
                <w:szCs w:val="19"/>
              </w:rPr>
              <w:t xml:space="preserve">Factor</w:t>
            </w:r>
          </w:p>
        </w:tc>
        <w:tc>
          <w:tcPr>
            <w:tcW w:type="dxa" w:w="1800"/>
            <w:tcBorders>
              <w:top w:val="single" w:color="0F6B72" w:sz="1"/>
              <w:left w:val="single" w:color="0F6B72" w:sz="1"/>
              <w:bottom w:val="single" w:color="0F6B72" w:sz="1"/>
              <w:right w:val="single" w:color="0F6B72" w:sz="1"/>
            </w:tcBorders>
            <w:shd w:fill="0F6B72" w:val="clear"/>
            <w:tcMar>
              <w:top w:type="dxa" w:w="100"/>
              <w:left w:type="dxa" w:w="140"/>
              <w:bottom w:type="dxa" w:w="100"/>
              <w:right w:type="dxa" w:w="140"/>
            </w:tcMar>
            <w:vAlign w:val="center"/>
          </w:tcPr>
          <w:p>
            <w:r>
              <w:rPr>
                <w:rFonts w:ascii="Arial" w:cs="Arial" w:eastAsia="Arial" w:hAnsi="Arial"/>
                <w:b/>
                <w:bCs/>
                <w:color w:val="FFFFFF"/>
                <w:sz w:val="19"/>
                <w:szCs w:val="19"/>
              </w:rPr>
              <w:t xml:space="preserve">Buyers citing it</w:t>
            </w:r>
          </w:p>
        </w:tc>
        <w:tc>
          <w:tcPr>
            <w:tcW w:type="dxa" w:w="4440"/>
            <w:tcBorders>
              <w:top w:val="single" w:color="0F6B72" w:sz="1"/>
              <w:left w:val="single" w:color="0F6B72" w:sz="1"/>
              <w:bottom w:val="single" w:color="0F6B72" w:sz="1"/>
              <w:right w:val="single" w:color="0F6B72" w:sz="1"/>
            </w:tcBorders>
            <w:shd w:fill="0F6B72" w:val="clear"/>
            <w:tcMar>
              <w:top w:type="dxa" w:w="100"/>
              <w:left w:type="dxa" w:w="140"/>
              <w:bottom w:type="dxa" w:w="100"/>
              <w:right w:type="dxa" w:w="140"/>
            </w:tcMar>
            <w:vAlign w:val="center"/>
          </w:tcPr>
          <w:p>
            <w:r>
              <w:rPr>
                <w:rFonts w:ascii="Arial" w:cs="Arial" w:eastAsia="Arial" w:hAnsi="Arial"/>
                <w:b/>
                <w:bCs/>
                <w:color w:val="FFFFFF"/>
                <w:sz w:val="19"/>
                <w:szCs w:val="19"/>
              </w:rPr>
              <w:t xml:space="preserve">Implication for LP</w:t>
            </w:r>
          </w:p>
        </w:tc>
      </w:tr>
      <w:tr>
        <w:tc>
          <w:tcPr>
            <w:tcW w:type="dxa" w:w="3600"/>
            <w:tcBorders>
              <w:top w:val="single" w:color="D0D8D9" w:sz="1"/>
              <w:left w:val="single" w:color="D0D8D9" w:sz="1"/>
              <w:bottom w:val="single" w:color="D0D8D9" w:sz="1"/>
              <w:right w:val="single" w:color="D0D8D9" w:sz="1"/>
            </w:tcBorders>
            <w:shd w:fill="FFFFFF" w:val="clear"/>
            <w:tcMar>
              <w:top w:type="dxa" w:w="80"/>
              <w:left w:type="dxa" w:w="140"/>
              <w:bottom w:type="dxa" w:w="80"/>
              <w:right w:type="dxa" w:w="140"/>
            </w:tcMar>
          </w:tcPr>
          <w:p>
            <w:r>
              <w:rPr>
                <w:rFonts w:ascii="Arial" w:cs="Arial" w:eastAsia="Arial" w:hAnsi="Arial"/>
                <w:b/>
                <w:bCs/>
                <w:color w:val="1A1A1A"/>
                <w:sz w:val="19"/>
                <w:szCs w:val="19"/>
              </w:rPr>
              <w:t xml:space="preserve">Low prices / strong value</w:t>
            </w:r>
          </w:p>
        </w:tc>
        <w:tc>
          <w:tcPr>
            <w:tcW w:type="dxa" w:w="1800"/>
            <w:tcBorders>
              <w:top w:val="single" w:color="D0D8D9" w:sz="1"/>
              <w:left w:val="single" w:color="D0D8D9" w:sz="1"/>
              <w:bottom w:val="single" w:color="D0D8D9" w:sz="1"/>
              <w:right w:val="single" w:color="D0D8D9" w:sz="1"/>
            </w:tcBorders>
            <w:shd w:fill="FFFFFF" w:val="clear"/>
            <w:tcMar>
              <w:top w:type="dxa" w:w="80"/>
              <w:left w:type="dxa" w:w="140"/>
              <w:bottom w:type="dxa" w:w="80"/>
              <w:right w:type="dxa" w:w="140"/>
            </w:tcMar>
          </w:tcPr>
          <w:p>
            <w:r>
              <w:rPr>
                <w:rFonts w:ascii="Arial" w:cs="Arial" w:eastAsia="Arial" w:hAnsi="Arial"/>
                <w:b w:val="false"/>
                <w:bCs w:val="false"/>
                <w:color w:val="363636"/>
                <w:sz w:val="19"/>
                <w:szCs w:val="19"/>
              </w:rPr>
              <w:t xml:space="preserve">51%</w:t>
            </w:r>
          </w:p>
        </w:tc>
        <w:tc>
          <w:tcPr>
            <w:tcW w:type="dxa" w:w="4440"/>
            <w:tcBorders>
              <w:top w:val="single" w:color="D0D8D9" w:sz="1"/>
              <w:left w:val="single" w:color="D0D8D9" w:sz="1"/>
              <w:bottom w:val="single" w:color="D0D8D9" w:sz="1"/>
              <w:right w:val="single" w:color="D0D8D9" w:sz="1"/>
            </w:tcBorders>
            <w:shd w:fill="FFFFFF" w:val="clear"/>
            <w:tcMar>
              <w:top w:type="dxa" w:w="80"/>
              <w:left w:type="dxa" w:w="140"/>
              <w:bottom w:type="dxa" w:w="80"/>
              <w:right w:type="dxa" w:w="140"/>
            </w:tcMar>
          </w:tcPr>
          <w:p>
            <w:r>
              <w:rPr>
                <w:rFonts w:ascii="Arial" w:cs="Arial" w:eastAsia="Arial" w:hAnsi="Arial"/>
                <w:b w:val="false"/>
                <w:bCs w:val="false"/>
                <w:color w:val="363636"/>
                <w:sz w:val="19"/>
                <w:szCs w:val="19"/>
              </w:rPr>
              <w:t xml:space="preserve">Price anchor in hero is non-negotiable. Show original → sale price, not just current.</w:t>
            </w:r>
          </w:p>
        </w:tc>
      </w:tr>
      <w:tr>
        <w:tc>
          <w:tcPr>
            <w:tcW w:type="dxa" w:w="3600"/>
            <w:tcBorders>
              <w:top w:val="single" w:color="D0D8D9" w:sz="1"/>
              <w:left w:val="single" w:color="D0D8D9" w:sz="1"/>
              <w:bottom w:val="single" w:color="D0D8D9" w:sz="1"/>
              <w:right w:val="single" w:color="D0D8D9" w:sz="1"/>
            </w:tcBorders>
            <w:shd w:fill="F4F8F9" w:val="clear"/>
            <w:tcMar>
              <w:top w:type="dxa" w:w="80"/>
              <w:left w:type="dxa" w:w="140"/>
              <w:bottom w:type="dxa" w:w="80"/>
              <w:right w:type="dxa" w:w="140"/>
            </w:tcMar>
          </w:tcPr>
          <w:p>
            <w:r>
              <w:rPr>
                <w:rFonts w:ascii="Arial" w:cs="Arial" w:eastAsia="Arial" w:hAnsi="Arial"/>
                <w:b/>
                <w:bCs/>
                <w:color w:val="1A1A1A"/>
                <w:sz w:val="19"/>
                <w:szCs w:val="19"/>
              </w:rPr>
              <w:t xml:space="preserve">Free delivery</w:t>
            </w:r>
          </w:p>
        </w:tc>
        <w:tc>
          <w:tcPr>
            <w:tcW w:type="dxa" w:w="1800"/>
            <w:tcBorders>
              <w:top w:val="single" w:color="D0D8D9" w:sz="1"/>
              <w:left w:val="single" w:color="D0D8D9" w:sz="1"/>
              <w:bottom w:val="single" w:color="D0D8D9" w:sz="1"/>
              <w:right w:val="single" w:color="D0D8D9" w:sz="1"/>
            </w:tcBorders>
            <w:shd w:fill="F4F8F9" w:val="clear"/>
            <w:tcMar>
              <w:top w:type="dxa" w:w="80"/>
              <w:left w:type="dxa" w:w="140"/>
              <w:bottom w:type="dxa" w:w="80"/>
              <w:right w:type="dxa" w:w="140"/>
            </w:tcMar>
          </w:tcPr>
          <w:p>
            <w:r>
              <w:rPr>
                <w:rFonts w:ascii="Arial" w:cs="Arial" w:eastAsia="Arial" w:hAnsi="Arial"/>
                <w:b w:val="false"/>
                <w:bCs w:val="false"/>
                <w:color w:val="363636"/>
                <w:sz w:val="19"/>
                <w:szCs w:val="19"/>
              </w:rPr>
              <w:t xml:space="preserve">47%</w:t>
            </w:r>
          </w:p>
        </w:tc>
        <w:tc>
          <w:tcPr>
            <w:tcW w:type="dxa" w:w="4440"/>
            <w:tcBorders>
              <w:top w:val="single" w:color="D0D8D9" w:sz="1"/>
              <w:left w:val="single" w:color="D0D8D9" w:sz="1"/>
              <w:bottom w:val="single" w:color="D0D8D9" w:sz="1"/>
              <w:right w:val="single" w:color="D0D8D9" w:sz="1"/>
            </w:tcBorders>
            <w:shd w:fill="F4F8F9" w:val="clear"/>
            <w:tcMar>
              <w:top w:type="dxa" w:w="80"/>
              <w:left w:type="dxa" w:w="140"/>
              <w:bottom w:type="dxa" w:w="80"/>
              <w:right w:type="dxa" w:w="140"/>
            </w:tcMar>
          </w:tcPr>
          <w:p>
            <w:r>
              <w:rPr>
                <w:rFonts w:ascii="Arial" w:cs="Arial" w:eastAsia="Arial" w:hAnsi="Arial"/>
                <w:b w:val="false"/>
                <w:bCs w:val="false"/>
                <w:color w:val="363636"/>
                <w:sz w:val="19"/>
                <w:szCs w:val="19"/>
              </w:rPr>
              <w:t xml:space="preserve">"Kostenlose Lieferung" in the trust bar — always above fold.</w:t>
            </w:r>
          </w:p>
        </w:tc>
      </w:tr>
      <w:tr>
        <w:tc>
          <w:tcPr>
            <w:tcW w:type="dxa" w:w="3600"/>
            <w:tcBorders>
              <w:top w:val="single" w:color="D0D8D9" w:sz="1"/>
              <w:left w:val="single" w:color="D0D8D9" w:sz="1"/>
              <w:bottom w:val="single" w:color="D0D8D9" w:sz="1"/>
              <w:right w:val="single" w:color="D0D8D9" w:sz="1"/>
            </w:tcBorders>
            <w:shd w:fill="FFFFFF" w:val="clear"/>
            <w:tcMar>
              <w:top w:type="dxa" w:w="80"/>
              <w:left w:type="dxa" w:w="140"/>
              <w:bottom w:type="dxa" w:w="80"/>
              <w:right w:type="dxa" w:w="140"/>
            </w:tcMar>
          </w:tcPr>
          <w:p>
            <w:r>
              <w:rPr>
                <w:rFonts w:ascii="Arial" w:cs="Arial" w:eastAsia="Arial" w:hAnsi="Arial"/>
                <w:b/>
                <w:bCs/>
                <w:color w:val="1A1A1A"/>
                <w:sz w:val="19"/>
                <w:szCs w:val="19"/>
              </w:rPr>
              <w:t xml:space="preserve">Warranty</w:t>
            </w:r>
          </w:p>
        </w:tc>
        <w:tc>
          <w:tcPr>
            <w:tcW w:type="dxa" w:w="1800"/>
            <w:tcBorders>
              <w:top w:val="single" w:color="D0D8D9" w:sz="1"/>
              <w:left w:val="single" w:color="D0D8D9" w:sz="1"/>
              <w:bottom w:val="single" w:color="D0D8D9" w:sz="1"/>
              <w:right w:val="single" w:color="D0D8D9" w:sz="1"/>
            </w:tcBorders>
            <w:shd w:fill="FFFFFF" w:val="clear"/>
            <w:tcMar>
              <w:top w:type="dxa" w:w="80"/>
              <w:left w:type="dxa" w:w="140"/>
              <w:bottom w:type="dxa" w:w="80"/>
              <w:right w:type="dxa" w:w="140"/>
            </w:tcMar>
          </w:tcPr>
          <w:p>
            <w:r>
              <w:rPr>
                <w:rFonts w:ascii="Arial" w:cs="Arial" w:eastAsia="Arial" w:hAnsi="Arial"/>
                <w:b w:val="false"/>
                <w:bCs w:val="false"/>
                <w:color w:val="363636"/>
                <w:sz w:val="19"/>
                <w:szCs w:val="19"/>
              </w:rPr>
              <w:t xml:space="preserve">46%</w:t>
            </w:r>
          </w:p>
        </w:tc>
        <w:tc>
          <w:tcPr>
            <w:tcW w:type="dxa" w:w="4440"/>
            <w:tcBorders>
              <w:top w:val="single" w:color="D0D8D9" w:sz="1"/>
              <w:left w:val="single" w:color="D0D8D9" w:sz="1"/>
              <w:bottom w:val="single" w:color="D0D8D9" w:sz="1"/>
              <w:right w:val="single" w:color="D0D8D9" w:sz="1"/>
            </w:tcBorders>
            <w:shd w:fill="FFFFFF" w:val="clear"/>
            <w:tcMar>
              <w:top w:type="dxa" w:w="80"/>
              <w:left w:type="dxa" w:w="140"/>
              <w:bottom w:type="dxa" w:w="80"/>
              <w:right w:type="dxa" w:w="140"/>
            </w:tcMar>
          </w:tcPr>
          <w:p>
            <w:r>
              <w:rPr>
                <w:rFonts w:ascii="Arial" w:cs="Arial" w:eastAsia="Arial" w:hAnsi="Arial"/>
                <w:b w:val="false"/>
                <w:bCs w:val="false"/>
                <w:color w:val="363636"/>
                <w:sz w:val="19"/>
                <w:szCs w:val="19"/>
              </w:rPr>
              <w:t xml:space="preserve">"2 Jahre Garantie" or "3 Jahre Garantie" as a trust signal, not buried in footer.</w:t>
            </w:r>
          </w:p>
        </w:tc>
      </w:tr>
      <w:tr>
        <w:tc>
          <w:tcPr>
            <w:tcW w:type="dxa" w:w="3600"/>
            <w:tcBorders>
              <w:top w:val="single" w:color="D0D8D9" w:sz="1"/>
              <w:left w:val="single" w:color="D0D8D9" w:sz="1"/>
              <w:bottom w:val="single" w:color="D0D8D9" w:sz="1"/>
              <w:right w:val="single" w:color="D0D8D9" w:sz="1"/>
            </w:tcBorders>
            <w:shd w:fill="F4F8F9" w:val="clear"/>
            <w:tcMar>
              <w:top w:type="dxa" w:w="80"/>
              <w:left w:type="dxa" w:w="140"/>
              <w:bottom w:type="dxa" w:w="80"/>
              <w:right w:type="dxa" w:w="140"/>
            </w:tcMar>
          </w:tcPr>
          <w:p>
            <w:r>
              <w:rPr>
                <w:rFonts w:ascii="Arial" w:cs="Arial" w:eastAsia="Arial" w:hAnsi="Arial"/>
                <w:b/>
                <w:bCs/>
                <w:color w:val="1A1A1A"/>
                <w:sz w:val="19"/>
                <w:szCs w:val="19"/>
              </w:rPr>
              <w:t xml:space="preserve">Free returns</w:t>
            </w:r>
          </w:p>
        </w:tc>
        <w:tc>
          <w:tcPr>
            <w:tcW w:type="dxa" w:w="1800"/>
            <w:tcBorders>
              <w:top w:val="single" w:color="D0D8D9" w:sz="1"/>
              <w:left w:val="single" w:color="D0D8D9" w:sz="1"/>
              <w:bottom w:val="single" w:color="D0D8D9" w:sz="1"/>
              <w:right w:val="single" w:color="D0D8D9" w:sz="1"/>
            </w:tcBorders>
            <w:shd w:fill="F4F8F9" w:val="clear"/>
            <w:tcMar>
              <w:top w:type="dxa" w:w="80"/>
              <w:left w:type="dxa" w:w="140"/>
              <w:bottom w:type="dxa" w:w="80"/>
              <w:right w:type="dxa" w:w="140"/>
            </w:tcMar>
          </w:tcPr>
          <w:p>
            <w:r>
              <w:rPr>
                <w:rFonts w:ascii="Arial" w:cs="Arial" w:eastAsia="Arial" w:hAnsi="Arial"/>
                <w:b w:val="false"/>
                <w:bCs w:val="false"/>
                <w:color w:val="363636"/>
                <w:sz w:val="19"/>
                <w:szCs w:val="19"/>
              </w:rPr>
              <w:t xml:space="preserve">39%</w:t>
            </w:r>
          </w:p>
        </w:tc>
        <w:tc>
          <w:tcPr>
            <w:tcW w:type="dxa" w:w="4440"/>
            <w:tcBorders>
              <w:top w:val="single" w:color="D0D8D9" w:sz="1"/>
              <w:left w:val="single" w:color="D0D8D9" w:sz="1"/>
              <w:bottom w:val="single" w:color="D0D8D9" w:sz="1"/>
              <w:right w:val="single" w:color="D0D8D9" w:sz="1"/>
            </w:tcBorders>
            <w:shd w:fill="F4F8F9" w:val="clear"/>
            <w:tcMar>
              <w:top w:type="dxa" w:w="80"/>
              <w:left w:type="dxa" w:w="140"/>
              <w:bottom w:type="dxa" w:w="80"/>
              <w:right w:type="dxa" w:w="140"/>
            </w:tcMar>
          </w:tcPr>
          <w:p>
            <w:r>
              <w:rPr>
                <w:rFonts w:ascii="Arial" w:cs="Arial" w:eastAsia="Arial" w:hAnsi="Arial"/>
                <w:b w:val="false"/>
                <w:bCs w:val="false"/>
                <w:color w:val="363636"/>
                <w:sz w:val="19"/>
                <w:szCs w:val="19"/>
              </w:rPr>
              <w:t xml:space="preserve">Teufel's return window must be explicit. "X Tage kostenlose Rückgabe" removes the final purchase blocker.</w:t>
            </w:r>
          </w:p>
        </w:tc>
      </w:tr>
      <w:tr>
        <w:tc>
          <w:tcPr>
            <w:tcW w:type="dxa" w:w="3600"/>
            <w:tcBorders>
              <w:top w:val="single" w:color="D0D8D9" w:sz="1"/>
              <w:left w:val="single" w:color="D0D8D9" w:sz="1"/>
              <w:bottom w:val="single" w:color="D0D8D9" w:sz="1"/>
              <w:right w:val="single" w:color="D0D8D9" w:sz="1"/>
            </w:tcBorders>
            <w:shd w:fill="FFFFFF" w:val="clear"/>
            <w:tcMar>
              <w:top w:type="dxa" w:w="80"/>
              <w:left w:type="dxa" w:w="140"/>
              <w:bottom w:type="dxa" w:w="80"/>
              <w:right w:type="dxa" w:w="140"/>
            </w:tcMar>
          </w:tcPr>
          <w:p>
            <w:r>
              <w:rPr>
                <w:rFonts w:ascii="Arial" w:cs="Arial" w:eastAsia="Arial" w:hAnsi="Arial"/>
                <w:b/>
                <w:bCs/>
                <w:color w:val="1A1A1A"/>
                <w:sz w:val="19"/>
                <w:szCs w:val="19"/>
              </w:rPr>
              <w:t xml:space="preserve">Broad payment options</w:t>
            </w:r>
          </w:p>
        </w:tc>
        <w:tc>
          <w:tcPr>
            <w:tcW w:type="dxa" w:w="1800"/>
            <w:tcBorders>
              <w:top w:val="single" w:color="D0D8D9" w:sz="1"/>
              <w:left w:val="single" w:color="D0D8D9" w:sz="1"/>
              <w:bottom w:val="single" w:color="D0D8D9" w:sz="1"/>
              <w:right w:val="single" w:color="D0D8D9" w:sz="1"/>
            </w:tcBorders>
            <w:shd w:fill="FFFFFF" w:val="clear"/>
            <w:tcMar>
              <w:top w:type="dxa" w:w="80"/>
              <w:left w:type="dxa" w:w="140"/>
              <w:bottom w:type="dxa" w:w="80"/>
              <w:right w:type="dxa" w:w="140"/>
            </w:tcMar>
          </w:tcPr>
          <w:p>
            <w:r>
              <w:rPr>
                <w:rFonts w:ascii="Arial" w:cs="Arial" w:eastAsia="Arial" w:hAnsi="Arial"/>
                <w:b w:val="false"/>
                <w:bCs w:val="false"/>
                <w:color w:val="363636"/>
                <w:sz w:val="19"/>
                <w:szCs w:val="19"/>
              </w:rPr>
              <w:t xml:space="preserve">38%</w:t>
            </w:r>
          </w:p>
        </w:tc>
        <w:tc>
          <w:tcPr>
            <w:tcW w:type="dxa" w:w="4440"/>
            <w:tcBorders>
              <w:top w:val="single" w:color="D0D8D9" w:sz="1"/>
              <w:left w:val="single" w:color="D0D8D9" w:sz="1"/>
              <w:bottom w:val="single" w:color="D0D8D9" w:sz="1"/>
              <w:right w:val="single" w:color="D0D8D9" w:sz="1"/>
            </w:tcBorders>
            <w:shd w:fill="FFFFFF" w:val="clear"/>
            <w:tcMar>
              <w:top w:type="dxa" w:w="80"/>
              <w:left w:type="dxa" w:w="140"/>
              <w:bottom w:type="dxa" w:w="80"/>
              <w:right w:type="dxa" w:w="140"/>
            </w:tcMar>
          </w:tcPr>
          <w:p>
            <w:r>
              <w:rPr>
                <w:rFonts w:ascii="Arial" w:cs="Arial" w:eastAsia="Arial" w:hAnsi="Arial"/>
                <w:b w:val="false"/>
                <w:bCs w:val="false"/>
                <w:color w:val="363636"/>
                <w:sz w:val="19"/>
                <w:szCs w:val="19"/>
              </w:rPr>
              <w:t xml:space="preserve">Show Alma/PayPal/Klarna logos in trust bar. 0% financing is a genuine differentiator.</w:t>
            </w:r>
          </w:p>
        </w:tc>
      </w:tr>
      <w:tr>
        <w:tc>
          <w:tcPr>
            <w:tcW w:type="dxa" w:w="3600"/>
            <w:tcBorders>
              <w:top w:val="single" w:color="D0D8D9" w:sz="1"/>
              <w:left w:val="single" w:color="D0D8D9" w:sz="1"/>
              <w:bottom w:val="single" w:color="D0D8D9" w:sz="1"/>
              <w:right w:val="single" w:color="D0D8D9" w:sz="1"/>
            </w:tcBorders>
            <w:shd w:fill="F4F8F9" w:val="clear"/>
            <w:tcMar>
              <w:top w:type="dxa" w:w="80"/>
              <w:left w:type="dxa" w:w="140"/>
              <w:bottom w:type="dxa" w:w="80"/>
              <w:right w:type="dxa" w:w="140"/>
            </w:tcMar>
          </w:tcPr>
          <w:p>
            <w:r>
              <w:rPr>
                <w:rFonts w:ascii="Arial" w:cs="Arial" w:eastAsia="Arial" w:hAnsi="Arial"/>
                <w:b/>
                <w:bCs/>
                <w:color w:val="1A1A1A"/>
                <w:sz w:val="19"/>
                <w:szCs w:val="19"/>
              </w:rPr>
              <w:t xml:space="preserve">Brand recognition</w:t>
            </w:r>
          </w:p>
        </w:tc>
        <w:tc>
          <w:tcPr>
            <w:tcW w:type="dxa" w:w="1800"/>
            <w:tcBorders>
              <w:top w:val="single" w:color="D0D8D9" w:sz="1"/>
              <w:left w:val="single" w:color="D0D8D9" w:sz="1"/>
              <w:bottom w:val="single" w:color="D0D8D9" w:sz="1"/>
              <w:right w:val="single" w:color="D0D8D9" w:sz="1"/>
            </w:tcBorders>
            <w:shd w:fill="F4F8F9" w:val="clear"/>
            <w:tcMar>
              <w:top w:type="dxa" w:w="80"/>
              <w:left w:type="dxa" w:w="140"/>
              <w:bottom w:type="dxa" w:w="80"/>
              <w:right w:type="dxa" w:w="140"/>
            </w:tcMar>
          </w:tcPr>
          <w:p>
            <w:r>
              <w:rPr>
                <w:rFonts w:ascii="Arial" w:cs="Arial" w:eastAsia="Arial" w:hAnsi="Arial"/>
                <w:b w:val="false"/>
                <w:bCs w:val="false"/>
                <w:color w:val="363636"/>
                <w:sz w:val="19"/>
                <w:szCs w:val="19"/>
              </w:rPr>
              <w:t xml:space="preserve">35%</w:t>
            </w:r>
          </w:p>
        </w:tc>
        <w:tc>
          <w:tcPr>
            <w:tcW w:type="dxa" w:w="4440"/>
            <w:tcBorders>
              <w:top w:val="single" w:color="D0D8D9" w:sz="1"/>
              <w:left w:val="single" w:color="D0D8D9" w:sz="1"/>
              <w:bottom w:val="single" w:color="D0D8D9" w:sz="1"/>
              <w:right w:val="single" w:color="D0D8D9" w:sz="1"/>
            </w:tcBorders>
            <w:shd w:fill="F4F8F9" w:val="clear"/>
            <w:tcMar>
              <w:top w:type="dxa" w:w="80"/>
              <w:left w:type="dxa" w:w="140"/>
              <w:bottom w:type="dxa" w:w="80"/>
              <w:right w:type="dxa" w:w="140"/>
            </w:tcMar>
          </w:tcPr>
          <w:p>
            <w:r>
              <w:rPr>
                <w:rFonts w:ascii="Arial" w:cs="Arial" w:eastAsia="Arial" w:hAnsi="Arial"/>
                <w:b w:val="false"/>
                <w:bCs w:val="false"/>
                <w:color w:val="363636"/>
                <w:sz w:val="19"/>
                <w:szCs w:val="19"/>
              </w:rPr>
              <w:t xml:space="preserve">Teufel's brand awareness is lower than Bose/Sonos in DACH. Awards and editorial validation substitute.</w:t>
            </w:r>
          </w:p>
        </w:tc>
      </w:tr>
      <w:tr>
        <w:tc>
          <w:tcPr>
            <w:tcW w:type="dxa" w:w="3600"/>
            <w:tcBorders>
              <w:top w:val="single" w:color="D0D8D9" w:sz="1"/>
              <w:left w:val="single" w:color="D0D8D9" w:sz="1"/>
              <w:bottom w:val="single" w:color="D0D8D9" w:sz="1"/>
              <w:right w:val="single" w:color="D0D8D9" w:sz="1"/>
            </w:tcBorders>
            <w:shd w:fill="FFFFFF" w:val="clear"/>
            <w:tcMar>
              <w:top w:type="dxa" w:w="80"/>
              <w:left w:type="dxa" w:w="140"/>
              <w:bottom w:type="dxa" w:w="80"/>
              <w:right w:type="dxa" w:w="140"/>
            </w:tcMar>
          </w:tcPr>
          <w:p>
            <w:r>
              <w:rPr>
                <w:rFonts w:ascii="Arial" w:cs="Arial" w:eastAsia="Arial" w:hAnsi="Arial"/>
                <w:b/>
                <w:bCs/>
                <w:color w:val="1A1A1A"/>
                <w:sz w:val="19"/>
                <w:szCs w:val="19"/>
              </w:rPr>
              <w:t xml:space="preserve">Customer reviews / ratings</w:t>
            </w:r>
          </w:p>
        </w:tc>
        <w:tc>
          <w:tcPr>
            <w:tcW w:type="dxa" w:w="1800"/>
            <w:tcBorders>
              <w:top w:val="single" w:color="D0D8D9" w:sz="1"/>
              <w:left w:val="single" w:color="D0D8D9" w:sz="1"/>
              <w:bottom w:val="single" w:color="D0D8D9" w:sz="1"/>
              <w:right w:val="single" w:color="D0D8D9" w:sz="1"/>
            </w:tcBorders>
            <w:shd w:fill="FFFFFF" w:val="clear"/>
            <w:tcMar>
              <w:top w:type="dxa" w:w="80"/>
              <w:left w:type="dxa" w:w="140"/>
              <w:bottom w:type="dxa" w:w="80"/>
              <w:right w:type="dxa" w:w="140"/>
            </w:tcMar>
          </w:tcPr>
          <w:p>
            <w:r>
              <w:rPr>
                <w:rFonts w:ascii="Arial" w:cs="Arial" w:eastAsia="Arial" w:hAnsi="Arial"/>
                <w:b w:val="false"/>
                <w:bCs w:val="false"/>
                <w:color w:val="363636"/>
                <w:sz w:val="19"/>
                <w:szCs w:val="19"/>
              </w:rPr>
              <w:t xml:space="preserve">34%</w:t>
            </w:r>
          </w:p>
        </w:tc>
        <w:tc>
          <w:tcPr>
            <w:tcW w:type="dxa" w:w="4440"/>
            <w:tcBorders>
              <w:top w:val="single" w:color="D0D8D9" w:sz="1"/>
              <w:left w:val="single" w:color="D0D8D9" w:sz="1"/>
              <w:bottom w:val="single" w:color="D0D8D9" w:sz="1"/>
              <w:right w:val="single" w:color="D0D8D9" w:sz="1"/>
            </w:tcBorders>
            <w:shd w:fill="FFFFFF" w:val="clear"/>
            <w:tcMar>
              <w:top w:type="dxa" w:w="80"/>
              <w:left w:type="dxa" w:w="140"/>
              <w:bottom w:type="dxa" w:w="80"/>
              <w:right w:type="dxa" w:w="140"/>
            </w:tcMar>
          </w:tcPr>
          <w:p>
            <w:r>
              <w:rPr>
                <w:rFonts w:ascii="Arial" w:cs="Arial" w:eastAsia="Arial" w:hAnsi="Arial"/>
                <w:b w:val="false"/>
                <w:bCs w:val="false"/>
                <w:color w:val="363636"/>
                <w:sz w:val="19"/>
                <w:szCs w:val="19"/>
              </w:rPr>
              <w:t xml:space="preserve">Trustpilot score + review count visible in hero trust bar. In-page reviews filterable by use case.</w:t>
            </w:r>
          </w:p>
        </w:tc>
      </w:tr>
    </w:tbl>
    <w:p>
      <w:pPr>
        <w:spacing w:after="200"/>
      </w:pPr>
    </w:p>
    <w:p>
      <w:pPr>
        <w:pStyle w:val="Heading2"/>
        <w:spacing w:before="320" w:after="140"/>
      </w:pPr>
      <w:r>
        <w:rPr>
          <w:rFonts w:ascii="Arial Black" w:cs="Arial Black" w:eastAsia="Arial Black" w:hAnsi="Arial Black"/>
          <w:b/>
          <w:bCs/>
          <w:color w:val="1A1A1A"/>
          <w:sz w:val="28"/>
          <w:szCs w:val="28"/>
        </w:rPr>
        <w:t xml:space="preserve">2.2 DACH Brand Trust Drivers</w:t>
      </w:r>
    </w:p>
    <w:p>
      <w:pPr>
        <w:spacing w:before="60" w:after="120" w:line="276"/>
      </w:pPr>
      <w:r>
        <w:rPr>
          <w:rFonts w:ascii="Arial" w:cs="Arial" w:eastAsia="Arial" w:hAnsi="Arial"/>
          <w:color w:val="363636"/>
          <w:sz w:val="22"/>
          <w:szCs w:val="22"/>
        </w:rPr>
        <w:t xml:space="preserve">When German consumers decide whether to trust a brand, two factors tie at the top: value for money (87%) and quality (86%). The rest follow. Two findings are directly relevant to Teufel's DTC challenge [2]:</w:t>
      </w:r>
    </w:p>
    <w:p>
      <w:pPr>
        <w:pStyle w:val="ListParagraph"/>
        <w:numPr>
          <w:ilvl w:val="0"/>
          <w:numId w:val="2"/>
        </w:numPr>
        <w:spacing w:before="40" w:after="80"/>
      </w:pPr>
      <w:r>
        <w:rPr>
          <w:rFonts w:ascii="Arial" w:cs="Arial" w:eastAsia="Arial" w:hAnsi="Arial"/>
          <w:b/>
          <w:bCs/>
          <w:color w:val="1A1A1A"/>
          <w:sz w:val="22"/>
          <w:szCs w:val="22"/>
        </w:rPr>
        <w:t xml:space="preserve">"I trust it" — 80%: </w:t>
      </w:r>
      <w:r>
        <w:rPr>
          <w:rFonts w:ascii="Arial" w:cs="Arial" w:eastAsia="Arial" w:hAnsi="Arial"/>
          <w:color w:val="363636"/>
          <w:sz w:val="22"/>
          <w:szCs w:val="22"/>
        </w:rPr>
        <w:t xml:space="preserve">Trust is earned through third-party signals (Stiftung Warentest, editorial), longevity claims ("seit 1979"), and physical presence ("unsere Stores in Berlin und Essen"). DTC brands that look online-only face a 20% trust deficit vs established retailers.</w:t>
      </w:r>
    </w:p>
    <w:p>
      <w:pPr>
        <w:pStyle w:val="ListParagraph"/>
        <w:numPr>
          <w:ilvl w:val="0"/>
          <w:numId w:val="2"/>
        </w:numPr>
        <w:spacing w:before="40" w:after="80"/>
      </w:pPr>
      <w:r>
        <w:rPr>
          <w:rFonts w:ascii="Arial" w:cs="Arial" w:eastAsia="Arial" w:hAnsi="Arial"/>
          <w:b/>
          <w:bCs/>
          <w:color w:val="1A1A1A"/>
          <w:sz w:val="22"/>
          <w:szCs w:val="22"/>
        </w:rPr>
        <w:t xml:space="preserve">"Headquartered in my country" — 66%: </w:t>
      </w:r>
      <w:r>
        <w:rPr>
          <w:rFonts w:ascii="Arial" w:cs="Arial" w:eastAsia="Arial" w:hAnsi="Arial"/>
          <w:color w:val="363636"/>
          <w:sz w:val="22"/>
          <w:szCs w:val="22"/>
        </w:rPr>
        <w:t xml:space="preserve">Nearly two-thirds of German buyers prefer German-headquartered brands. "Berliner Klangspezialisten seit 1979" is not just flavour copy — it is a conversion argument.</w:t>
      </w:r>
    </w:p>
    <w:p>
      <w:pPr>
        <w:pStyle w:val="ListParagraph"/>
        <w:numPr>
          <w:ilvl w:val="0"/>
          <w:numId w:val="2"/>
        </w:numPr>
        <w:spacing w:before="40" w:after="80"/>
      </w:pPr>
      <w:r>
        <w:rPr>
          <w:rFonts w:ascii="Arial" w:cs="Arial" w:eastAsia="Arial" w:hAnsi="Arial"/>
          <w:b/>
          <w:bCs/>
          <w:color w:val="1A1A1A"/>
          <w:sz w:val="22"/>
          <w:szCs w:val="22"/>
        </w:rPr>
        <w:t xml:space="preserve">"Customer service quality" — 79%: </w:t>
      </w:r>
      <w:r>
        <w:rPr>
          <w:rFonts w:ascii="Arial" w:cs="Arial" w:eastAsia="Arial" w:hAnsi="Arial"/>
          <w:color w:val="363636"/>
          <w:sz w:val="22"/>
          <w:szCs w:val="22"/>
        </w:rPr>
        <w:t xml:space="preserve">Warranty, return policy, and service accessibility close the purchase. They are not afterthoughts.</w:t>
      </w:r>
    </w:p>
    <w:p>
      <w:pPr>
        <w:spacing w:after="200"/>
      </w:pPr>
    </w:p>
    <w:p>
      <w:pPr>
        <w:pStyle w:val="Heading2"/>
        <w:spacing w:before="320" w:after="140"/>
      </w:pPr>
      <w:r>
        <w:rPr>
          <w:rFonts w:ascii="Arial Black" w:cs="Arial Black" w:eastAsia="Arial Black" w:hAnsi="Arial Black"/>
          <w:b/>
          <w:bCs/>
          <w:color w:val="1A1A1A"/>
          <w:sz w:val="28"/>
          <w:szCs w:val="28"/>
        </w:rPr>
        <w:t xml:space="preserve">2.3 The 6 Objections That Kill DACH Soundbar Sales</w:t>
      </w:r>
    </w:p>
    <w:p>
      <w:pPr>
        <w:spacing w:before="60" w:after="120" w:line="276"/>
      </w:pPr>
      <w:r>
        <w:rPr>
          <w:rFonts w:ascii="Arial" w:cs="Arial" w:eastAsia="Arial" w:hAnsi="Arial"/>
          <w:color w:val="363636"/>
          <w:sz w:val="22"/>
          <w:szCs w:val="22"/>
        </w:rPr>
        <w:t xml:space="preserve">These are the real objections that cause DACH shoppers to abandon soundbar carts. Each one must be addressed on the page — ideally before the buyer reaches the FAQ.</w:t>
      </w:r>
    </w:p>
    <w:p>
      <w:pPr>
        <w:spacing w:after="80"/>
      </w:pPr>
    </w:p>
    <w:tbl>
      <w:tblPr>
        <w:tblW w:type="dxa" w:w="9840"/>
        <w:tblBorders>
          <w:top w:val="single" w:color="auto" w:sz="4"/>
          <w:left w:val="single" w:color="auto" w:sz="4"/>
          <w:bottom w:val="single" w:color="auto" w:sz="4"/>
          <w:right w:val="single" w:color="auto" w:sz="4"/>
          <w:insideH w:val="single" w:color="auto" w:sz="4"/>
          <w:insideV w:val="single" w:color="auto" w:sz="4"/>
        </w:tblBorders>
      </w:tblPr>
      <w:tblGrid>
        <w:gridCol w:w="2800"/>
        <w:gridCol w:w="3240"/>
        <w:gridCol w:w="3800"/>
      </w:tblGrid>
      <w:tr>
        <w:trPr>
          <w:tblHeader/>
        </w:trPr>
        <w:tc>
          <w:tcPr>
            <w:tcW w:type="dxa" w:w="2800"/>
            <w:tcBorders>
              <w:top w:val="single" w:color="0F6B72" w:sz="1"/>
              <w:left w:val="single" w:color="0F6B72" w:sz="1"/>
              <w:bottom w:val="single" w:color="0F6B72" w:sz="1"/>
              <w:right w:val="single" w:color="0F6B72" w:sz="1"/>
            </w:tcBorders>
            <w:shd w:fill="0F6B72" w:val="clear"/>
            <w:tcMar>
              <w:top w:type="dxa" w:w="100"/>
              <w:left w:type="dxa" w:w="140"/>
              <w:bottom w:type="dxa" w:w="100"/>
              <w:right w:type="dxa" w:w="140"/>
            </w:tcMar>
            <w:vAlign w:val="center"/>
          </w:tcPr>
          <w:p>
            <w:r>
              <w:rPr>
                <w:rFonts w:ascii="Arial" w:cs="Arial" w:eastAsia="Arial" w:hAnsi="Arial"/>
                <w:b/>
                <w:bCs/>
                <w:color w:val="FFFFFF"/>
                <w:sz w:val="19"/>
                <w:szCs w:val="19"/>
              </w:rPr>
              <w:t xml:space="preserve">Objection</w:t>
            </w:r>
          </w:p>
        </w:tc>
        <w:tc>
          <w:tcPr>
            <w:tcW w:type="dxa" w:w="3240"/>
            <w:tcBorders>
              <w:top w:val="single" w:color="0F6B72" w:sz="1"/>
              <w:left w:val="single" w:color="0F6B72" w:sz="1"/>
              <w:bottom w:val="single" w:color="0F6B72" w:sz="1"/>
              <w:right w:val="single" w:color="0F6B72" w:sz="1"/>
            </w:tcBorders>
            <w:shd w:fill="0F6B72" w:val="clear"/>
            <w:tcMar>
              <w:top w:type="dxa" w:w="100"/>
              <w:left w:type="dxa" w:w="140"/>
              <w:bottom w:type="dxa" w:w="100"/>
              <w:right w:type="dxa" w:w="140"/>
            </w:tcMar>
            <w:vAlign w:val="center"/>
          </w:tcPr>
          <w:p>
            <w:r>
              <w:rPr>
                <w:rFonts w:ascii="Arial" w:cs="Arial" w:eastAsia="Arial" w:hAnsi="Arial"/>
                <w:b/>
                <w:bCs/>
                <w:color w:val="FFFFFF"/>
                <w:sz w:val="19"/>
                <w:szCs w:val="19"/>
              </w:rPr>
              <w:t xml:space="preserve">Root cause</w:t>
            </w:r>
          </w:p>
        </w:tc>
        <w:tc>
          <w:tcPr>
            <w:tcW w:type="dxa" w:w="3800"/>
            <w:tcBorders>
              <w:top w:val="single" w:color="0F6B72" w:sz="1"/>
              <w:left w:val="single" w:color="0F6B72" w:sz="1"/>
              <w:bottom w:val="single" w:color="0F6B72" w:sz="1"/>
              <w:right w:val="single" w:color="0F6B72" w:sz="1"/>
            </w:tcBorders>
            <w:shd w:fill="0F6B72" w:val="clear"/>
            <w:tcMar>
              <w:top w:type="dxa" w:w="100"/>
              <w:left w:type="dxa" w:w="140"/>
              <w:bottom w:type="dxa" w:w="100"/>
              <w:right w:type="dxa" w:w="140"/>
            </w:tcMar>
            <w:vAlign w:val="center"/>
          </w:tcPr>
          <w:p>
            <w:r>
              <w:rPr>
                <w:rFonts w:ascii="Arial" w:cs="Arial" w:eastAsia="Arial" w:hAnsi="Arial"/>
                <w:b/>
                <w:bCs/>
                <w:color w:val="FFFFFF"/>
                <w:sz w:val="19"/>
                <w:szCs w:val="19"/>
              </w:rPr>
              <w:t xml:space="preserve">Page response</w:t>
            </w:r>
          </w:p>
        </w:tc>
      </w:tr>
      <w:tr>
        <w:tc>
          <w:tcPr>
            <w:tcW w:type="dxa" w:w="2800"/>
            <w:tcBorders>
              <w:top w:val="single" w:color="D0D8D9" w:sz="1"/>
              <w:left w:val="single" w:color="D0D8D9" w:sz="1"/>
              <w:bottom w:val="single" w:color="D0D8D9" w:sz="1"/>
              <w:right w:val="single" w:color="D0D8D9" w:sz="1"/>
            </w:tcBorders>
            <w:shd w:fill="FFFFFF" w:val="clear"/>
            <w:tcMar>
              <w:top w:type="dxa" w:w="80"/>
              <w:left w:type="dxa" w:w="140"/>
              <w:bottom w:type="dxa" w:w="80"/>
              <w:right w:type="dxa" w:w="140"/>
            </w:tcMar>
          </w:tcPr>
          <w:p>
            <w:r>
              <w:rPr>
                <w:rFonts w:ascii="Arial" w:cs="Arial" w:eastAsia="Arial" w:hAnsi="Arial"/>
                <w:b/>
                <w:bCs/>
                <w:color w:val="1A1A1A"/>
                <w:sz w:val="19"/>
                <w:szCs w:val="19"/>
              </w:rPr>
              <w:t xml:space="preserve">"Is Teufel as good as Bose or Sonos?"</w:t>
            </w:r>
          </w:p>
        </w:tc>
        <w:tc>
          <w:tcPr>
            <w:tcW w:type="dxa" w:w="3240"/>
            <w:tcBorders>
              <w:top w:val="single" w:color="D0D8D9" w:sz="1"/>
              <w:left w:val="single" w:color="D0D8D9" w:sz="1"/>
              <w:bottom w:val="single" w:color="D0D8D9" w:sz="1"/>
              <w:right w:val="single" w:color="D0D8D9" w:sz="1"/>
            </w:tcBorders>
            <w:shd w:fill="FFFFFF" w:val="clear"/>
            <w:tcMar>
              <w:top w:type="dxa" w:w="80"/>
              <w:left w:type="dxa" w:w="140"/>
              <w:bottom w:type="dxa" w:w="80"/>
              <w:right w:type="dxa" w:w="140"/>
            </w:tcMar>
          </w:tcPr>
          <w:p>
            <w:r>
              <w:rPr>
                <w:rFonts w:ascii="Arial" w:cs="Arial" w:eastAsia="Arial" w:hAnsi="Arial"/>
                <w:b w:val="false"/>
                <w:bCs w:val="false"/>
                <w:color w:val="363636"/>
                <w:sz w:val="19"/>
                <w:szCs w:val="19"/>
              </w:rPr>
              <w:t xml:space="preserve">Brand awareness gap. Bose/Sonos feel safer because familiar.</w:t>
            </w:r>
          </w:p>
        </w:tc>
        <w:tc>
          <w:tcPr>
            <w:tcW w:type="dxa" w:w="3800"/>
            <w:tcBorders>
              <w:top w:val="single" w:color="D0D8D9" w:sz="1"/>
              <w:left w:val="single" w:color="D0D8D9" w:sz="1"/>
              <w:bottom w:val="single" w:color="D0D8D9" w:sz="1"/>
              <w:right w:val="single" w:color="D0D8D9" w:sz="1"/>
            </w:tcBorders>
            <w:shd w:fill="FFFFFF" w:val="clear"/>
            <w:tcMar>
              <w:top w:type="dxa" w:w="80"/>
              <w:left w:type="dxa" w:w="140"/>
              <w:bottom w:type="dxa" w:w="80"/>
              <w:right w:type="dxa" w:w="140"/>
            </w:tcMar>
          </w:tcPr>
          <w:p>
            <w:r>
              <w:rPr>
                <w:rFonts w:ascii="Arial" w:cs="Arial" w:eastAsia="Arial" w:hAnsi="Arial"/>
                <w:b w:val="false"/>
                <w:bCs w:val="false"/>
                <w:color w:val="363636"/>
                <w:sz w:val="19"/>
                <w:szCs w:val="19"/>
              </w:rPr>
              <w:t xml:space="preserve">Side-by-side comparison table. Expert review quotes. Stiftung Warentest score.</w:t>
            </w:r>
          </w:p>
        </w:tc>
      </w:tr>
      <w:tr>
        <w:tc>
          <w:tcPr>
            <w:tcW w:type="dxa" w:w="2800"/>
            <w:tcBorders>
              <w:top w:val="single" w:color="D0D8D9" w:sz="1"/>
              <w:left w:val="single" w:color="D0D8D9" w:sz="1"/>
              <w:bottom w:val="single" w:color="D0D8D9" w:sz="1"/>
              <w:right w:val="single" w:color="D0D8D9" w:sz="1"/>
            </w:tcBorders>
            <w:shd w:fill="F4F8F9" w:val="clear"/>
            <w:tcMar>
              <w:top w:type="dxa" w:w="80"/>
              <w:left w:type="dxa" w:w="140"/>
              <w:bottom w:type="dxa" w:w="80"/>
              <w:right w:type="dxa" w:w="140"/>
            </w:tcMar>
          </w:tcPr>
          <w:p>
            <w:r>
              <w:rPr>
                <w:rFonts w:ascii="Arial" w:cs="Arial" w:eastAsia="Arial" w:hAnsi="Arial"/>
                <w:b/>
                <w:bCs/>
                <w:color w:val="1A1A1A"/>
                <w:sz w:val="19"/>
                <w:szCs w:val="19"/>
              </w:rPr>
              <w:t xml:space="preserve">"I can't try it before buying."</w:t>
            </w:r>
          </w:p>
        </w:tc>
        <w:tc>
          <w:tcPr>
            <w:tcW w:type="dxa" w:w="3240"/>
            <w:tcBorders>
              <w:top w:val="single" w:color="D0D8D9" w:sz="1"/>
              <w:left w:val="single" w:color="D0D8D9" w:sz="1"/>
              <w:bottom w:val="single" w:color="D0D8D9" w:sz="1"/>
              <w:right w:val="single" w:color="D0D8D9" w:sz="1"/>
            </w:tcBorders>
            <w:shd w:fill="F4F8F9" w:val="clear"/>
            <w:tcMar>
              <w:top w:type="dxa" w:w="80"/>
              <w:left w:type="dxa" w:w="140"/>
              <w:bottom w:type="dxa" w:w="80"/>
              <w:right w:type="dxa" w:w="140"/>
            </w:tcMar>
          </w:tcPr>
          <w:p>
            <w:r>
              <w:rPr>
                <w:rFonts w:ascii="Arial" w:cs="Arial" w:eastAsia="Arial" w:hAnsi="Arial"/>
                <w:b w:val="false"/>
                <w:bCs w:val="false"/>
                <w:color w:val="363636"/>
                <w:sz w:val="19"/>
                <w:szCs w:val="19"/>
              </w:rPr>
              <w:t xml:space="preserve">No retail presence to audition. DTC risk feels real.</w:t>
            </w:r>
          </w:p>
        </w:tc>
        <w:tc>
          <w:tcPr>
            <w:tcW w:type="dxa" w:w="3800"/>
            <w:tcBorders>
              <w:top w:val="single" w:color="D0D8D9" w:sz="1"/>
              <w:left w:val="single" w:color="D0D8D9" w:sz="1"/>
              <w:bottom w:val="single" w:color="D0D8D9" w:sz="1"/>
              <w:right w:val="single" w:color="D0D8D9" w:sz="1"/>
            </w:tcBorders>
            <w:shd w:fill="F4F8F9" w:val="clear"/>
            <w:tcMar>
              <w:top w:type="dxa" w:w="80"/>
              <w:left w:type="dxa" w:w="140"/>
              <w:bottom w:type="dxa" w:w="80"/>
              <w:right w:type="dxa" w:w="140"/>
            </w:tcMar>
          </w:tcPr>
          <w:p>
            <w:r>
              <w:rPr>
                <w:rFonts w:ascii="Arial" w:cs="Arial" w:eastAsia="Arial" w:hAnsi="Arial"/>
                <w:b w:val="false"/>
                <w:bCs w:val="false"/>
                <w:color w:val="363636"/>
                <w:sz w:val="19"/>
                <w:szCs w:val="19"/>
              </w:rPr>
              <w:t xml:space="preserve">30-day risk-free return prominently featured. "Wir liefern direkt — kein Händler, kein Aufschlag" reframes DTC as advantage.</w:t>
            </w:r>
          </w:p>
        </w:tc>
      </w:tr>
      <w:tr>
        <w:tc>
          <w:tcPr>
            <w:tcW w:type="dxa" w:w="2800"/>
            <w:tcBorders>
              <w:top w:val="single" w:color="D0D8D9" w:sz="1"/>
              <w:left w:val="single" w:color="D0D8D9" w:sz="1"/>
              <w:bottom w:val="single" w:color="D0D8D9" w:sz="1"/>
              <w:right w:val="single" w:color="D0D8D9" w:sz="1"/>
            </w:tcBorders>
            <w:shd w:fill="FFFFFF" w:val="clear"/>
            <w:tcMar>
              <w:top w:type="dxa" w:w="80"/>
              <w:left w:type="dxa" w:w="140"/>
              <w:bottom w:type="dxa" w:w="80"/>
              <w:right w:type="dxa" w:w="140"/>
            </w:tcMar>
          </w:tcPr>
          <w:p>
            <w:r>
              <w:rPr>
                <w:rFonts w:ascii="Arial" w:cs="Arial" w:eastAsia="Arial" w:hAnsi="Arial"/>
                <w:b/>
                <w:bCs/>
                <w:color w:val="1A1A1A"/>
                <w:sz w:val="19"/>
                <w:szCs w:val="19"/>
              </w:rPr>
              <w:t xml:space="preserve">"Does it work with my TV?"</w:t>
            </w:r>
          </w:p>
        </w:tc>
        <w:tc>
          <w:tcPr>
            <w:tcW w:type="dxa" w:w="3240"/>
            <w:tcBorders>
              <w:top w:val="single" w:color="D0D8D9" w:sz="1"/>
              <w:left w:val="single" w:color="D0D8D9" w:sz="1"/>
              <w:bottom w:val="single" w:color="D0D8D9" w:sz="1"/>
              <w:right w:val="single" w:color="D0D8D9" w:sz="1"/>
            </w:tcBorders>
            <w:shd w:fill="FFFFFF" w:val="clear"/>
            <w:tcMar>
              <w:top w:type="dxa" w:w="80"/>
              <w:left w:type="dxa" w:w="140"/>
              <w:bottom w:type="dxa" w:w="80"/>
              <w:right w:type="dxa" w:w="140"/>
            </w:tcMar>
          </w:tcPr>
          <w:p>
            <w:r>
              <w:rPr>
                <w:rFonts w:ascii="Arial" w:cs="Arial" w:eastAsia="Arial" w:hAnsi="Arial"/>
                <w:b w:val="false"/>
                <w:bCs w:val="false"/>
                <w:color w:val="363636"/>
                <w:sz w:val="19"/>
                <w:szCs w:val="19"/>
              </w:rPr>
              <w:t xml:space="preserve">HDMI eARC compatibility varies. Setup fear.</w:t>
            </w:r>
          </w:p>
        </w:tc>
        <w:tc>
          <w:tcPr>
            <w:tcW w:type="dxa" w:w="3800"/>
            <w:tcBorders>
              <w:top w:val="single" w:color="D0D8D9" w:sz="1"/>
              <w:left w:val="single" w:color="D0D8D9" w:sz="1"/>
              <w:bottom w:val="single" w:color="D0D8D9" w:sz="1"/>
              <w:right w:val="single" w:color="D0D8D9" w:sz="1"/>
            </w:tcBorders>
            <w:shd w:fill="FFFFFF" w:val="clear"/>
            <w:tcMar>
              <w:top w:type="dxa" w:w="80"/>
              <w:left w:type="dxa" w:w="140"/>
              <w:bottom w:type="dxa" w:w="80"/>
              <w:right w:type="dxa" w:w="140"/>
            </w:tcMar>
          </w:tcPr>
          <w:p>
            <w:r>
              <w:rPr>
                <w:rFonts w:ascii="Arial" w:cs="Arial" w:eastAsia="Arial" w:hAnsi="Arial"/>
                <w:b w:val="false"/>
                <w:bCs w:val="false"/>
                <w:color w:val="363636"/>
                <w:sz w:val="19"/>
                <w:szCs w:val="19"/>
              </w:rPr>
              <w:t xml:space="preserve">"Kompatibel mit allen gängigen TV-Marken" + brief compatibility note (HDMI ARC/eARC, optical, Bluetooth fallback).</w:t>
            </w:r>
          </w:p>
        </w:tc>
      </w:tr>
      <w:tr>
        <w:tc>
          <w:tcPr>
            <w:tcW w:type="dxa" w:w="2800"/>
            <w:tcBorders>
              <w:top w:val="single" w:color="D0D8D9" w:sz="1"/>
              <w:left w:val="single" w:color="D0D8D9" w:sz="1"/>
              <w:bottom w:val="single" w:color="D0D8D9" w:sz="1"/>
              <w:right w:val="single" w:color="D0D8D9" w:sz="1"/>
            </w:tcBorders>
            <w:shd w:fill="F4F8F9" w:val="clear"/>
            <w:tcMar>
              <w:top w:type="dxa" w:w="80"/>
              <w:left w:type="dxa" w:w="140"/>
              <w:bottom w:type="dxa" w:w="80"/>
              <w:right w:type="dxa" w:w="140"/>
            </w:tcMar>
          </w:tcPr>
          <w:p>
            <w:r>
              <w:rPr>
                <w:rFonts w:ascii="Arial" w:cs="Arial" w:eastAsia="Arial" w:hAnsi="Arial"/>
                <w:b/>
                <w:bCs/>
                <w:color w:val="1A1A1A"/>
                <w:sz w:val="19"/>
                <w:szCs w:val="19"/>
              </w:rPr>
              <w:t xml:space="preserve">"Is setup complicated?"</w:t>
            </w:r>
          </w:p>
        </w:tc>
        <w:tc>
          <w:tcPr>
            <w:tcW w:type="dxa" w:w="3240"/>
            <w:tcBorders>
              <w:top w:val="single" w:color="D0D8D9" w:sz="1"/>
              <w:left w:val="single" w:color="D0D8D9" w:sz="1"/>
              <w:bottom w:val="single" w:color="D0D8D9" w:sz="1"/>
              <w:right w:val="single" w:color="D0D8D9" w:sz="1"/>
            </w:tcBorders>
            <w:shd w:fill="F4F8F9" w:val="clear"/>
            <w:tcMar>
              <w:top w:type="dxa" w:w="80"/>
              <w:left w:type="dxa" w:w="140"/>
              <w:bottom w:type="dxa" w:w="80"/>
              <w:right w:type="dxa" w:w="140"/>
            </w:tcMar>
          </w:tcPr>
          <w:p>
            <w:r>
              <w:rPr>
                <w:rFonts w:ascii="Arial" w:cs="Arial" w:eastAsia="Arial" w:hAnsi="Arial"/>
                <w:b w:val="false"/>
                <w:bCs w:val="false"/>
                <w:color w:val="363636"/>
                <w:sz w:val="19"/>
                <w:szCs w:val="19"/>
              </w:rPr>
              <w:t xml:space="preserve">German buyers do research. Forums show HDMI/optical anxiety is real.</w:t>
            </w:r>
          </w:p>
        </w:tc>
        <w:tc>
          <w:tcPr>
            <w:tcW w:type="dxa" w:w="3800"/>
            <w:tcBorders>
              <w:top w:val="single" w:color="D0D8D9" w:sz="1"/>
              <w:left w:val="single" w:color="D0D8D9" w:sz="1"/>
              <w:bottom w:val="single" w:color="D0D8D9" w:sz="1"/>
              <w:right w:val="single" w:color="D0D8D9" w:sz="1"/>
            </w:tcBorders>
            <w:shd w:fill="F4F8F9" w:val="clear"/>
            <w:tcMar>
              <w:top w:type="dxa" w:w="80"/>
              <w:left w:type="dxa" w:w="140"/>
              <w:bottom w:type="dxa" w:w="80"/>
              <w:right w:type="dxa" w:w="140"/>
            </w:tcMar>
          </w:tcPr>
          <w:p>
            <w:r>
              <w:rPr>
                <w:rFonts w:ascii="Arial" w:cs="Arial" w:eastAsia="Arial" w:hAnsi="Arial"/>
                <w:b w:val="false"/>
                <w:bCs w:val="false"/>
                <w:color w:val="363636"/>
                <w:sz w:val="19"/>
                <w:szCs w:val="19"/>
              </w:rPr>
              <w:t xml:space="preserve">"In 3 Schritten zum perfekten Klang" setup section. Short video if resources allow.</w:t>
            </w:r>
          </w:p>
        </w:tc>
      </w:tr>
      <w:tr>
        <w:tc>
          <w:tcPr>
            <w:tcW w:type="dxa" w:w="2800"/>
            <w:tcBorders>
              <w:top w:val="single" w:color="D0D8D9" w:sz="1"/>
              <w:left w:val="single" w:color="D0D8D9" w:sz="1"/>
              <w:bottom w:val="single" w:color="D0D8D9" w:sz="1"/>
              <w:right w:val="single" w:color="D0D8D9" w:sz="1"/>
            </w:tcBorders>
            <w:shd w:fill="FFFFFF" w:val="clear"/>
            <w:tcMar>
              <w:top w:type="dxa" w:w="80"/>
              <w:left w:type="dxa" w:w="140"/>
              <w:bottom w:type="dxa" w:w="80"/>
              <w:right w:type="dxa" w:w="140"/>
            </w:tcMar>
          </w:tcPr>
          <w:p>
            <w:r>
              <w:rPr>
                <w:rFonts w:ascii="Arial" w:cs="Arial" w:eastAsia="Arial" w:hAnsi="Arial"/>
                <w:b/>
                <w:bCs/>
                <w:color w:val="1A1A1A"/>
                <w:sz w:val="19"/>
                <w:szCs w:val="19"/>
              </w:rPr>
              <w:t xml:space="preserve">"Is this a real sale or just marketing?"</w:t>
            </w:r>
          </w:p>
        </w:tc>
        <w:tc>
          <w:tcPr>
            <w:tcW w:type="dxa" w:w="3240"/>
            <w:tcBorders>
              <w:top w:val="single" w:color="D0D8D9" w:sz="1"/>
              <w:left w:val="single" w:color="D0D8D9" w:sz="1"/>
              <w:bottom w:val="single" w:color="D0D8D9" w:sz="1"/>
              <w:right w:val="single" w:color="D0D8D9" w:sz="1"/>
            </w:tcBorders>
            <w:shd w:fill="FFFFFF" w:val="clear"/>
            <w:tcMar>
              <w:top w:type="dxa" w:w="80"/>
              <w:left w:type="dxa" w:w="140"/>
              <w:bottom w:type="dxa" w:w="80"/>
              <w:right w:type="dxa" w:w="140"/>
            </w:tcMar>
          </w:tcPr>
          <w:p>
            <w:r>
              <w:rPr>
                <w:rFonts w:ascii="Arial" w:cs="Arial" w:eastAsia="Arial" w:hAnsi="Arial"/>
                <w:b w:val="false"/>
                <w:bCs w:val="false"/>
                <w:color w:val="363636"/>
                <w:sz w:val="19"/>
                <w:szCs w:val="19"/>
              </w:rPr>
              <w:t xml:space="preserve">Cynicism about "up to X% off" claims. DACH buyers are discerning.</w:t>
            </w:r>
          </w:p>
        </w:tc>
        <w:tc>
          <w:tcPr>
            <w:tcW w:type="dxa" w:w="3800"/>
            <w:tcBorders>
              <w:top w:val="single" w:color="D0D8D9" w:sz="1"/>
              <w:left w:val="single" w:color="D0D8D9" w:sz="1"/>
              <w:bottom w:val="single" w:color="D0D8D9" w:sz="1"/>
              <w:right w:val="single" w:color="D0D8D9" w:sz="1"/>
            </w:tcBorders>
            <w:shd w:fill="FFFFFF" w:val="clear"/>
            <w:tcMar>
              <w:top w:type="dxa" w:w="80"/>
              <w:left w:type="dxa" w:w="140"/>
              <w:bottom w:type="dxa" w:w="80"/>
              <w:right w:type="dxa" w:w="140"/>
            </w:tcMar>
          </w:tcPr>
          <w:p>
            <w:r>
              <w:rPr>
                <w:rFonts w:ascii="Arial" w:cs="Arial" w:eastAsia="Arial" w:hAnsi="Arial"/>
                <w:b w:val="false"/>
                <w:bCs w:val="false"/>
                <w:color w:val="363636"/>
                <w:sz w:val="19"/>
                <w:szCs w:val="19"/>
              </w:rPr>
              <w:t xml:space="preserve">Three-tier price display (sale + previous price + original RRP) with timestamps. Specific end date/countdown.</w:t>
            </w:r>
          </w:p>
        </w:tc>
      </w:tr>
      <w:tr>
        <w:tc>
          <w:tcPr>
            <w:tcW w:type="dxa" w:w="2800"/>
            <w:tcBorders>
              <w:top w:val="single" w:color="D0D8D9" w:sz="1"/>
              <w:left w:val="single" w:color="D0D8D9" w:sz="1"/>
              <w:bottom w:val="single" w:color="D0D8D9" w:sz="1"/>
              <w:right w:val="single" w:color="D0D8D9" w:sz="1"/>
            </w:tcBorders>
            <w:shd w:fill="F4F8F9" w:val="clear"/>
            <w:tcMar>
              <w:top w:type="dxa" w:w="80"/>
              <w:left w:type="dxa" w:w="140"/>
              <w:bottom w:type="dxa" w:w="80"/>
              <w:right w:type="dxa" w:w="140"/>
            </w:tcMar>
          </w:tcPr>
          <w:p>
            <w:r>
              <w:rPr>
                <w:rFonts w:ascii="Arial" w:cs="Arial" w:eastAsia="Arial" w:hAnsi="Arial"/>
                <w:b/>
                <w:bCs/>
                <w:color w:val="1A1A1A"/>
                <w:sz w:val="19"/>
                <w:szCs w:val="19"/>
              </w:rPr>
              <w:t xml:space="preserve">"What if I have a problem?"</w:t>
            </w:r>
          </w:p>
        </w:tc>
        <w:tc>
          <w:tcPr>
            <w:tcW w:type="dxa" w:w="3240"/>
            <w:tcBorders>
              <w:top w:val="single" w:color="D0D8D9" w:sz="1"/>
              <w:left w:val="single" w:color="D0D8D9" w:sz="1"/>
              <w:bottom w:val="single" w:color="D0D8D9" w:sz="1"/>
              <w:right w:val="single" w:color="D0D8D9" w:sz="1"/>
            </w:tcBorders>
            <w:shd w:fill="F4F8F9" w:val="clear"/>
            <w:tcMar>
              <w:top w:type="dxa" w:w="80"/>
              <w:left w:type="dxa" w:w="140"/>
              <w:bottom w:type="dxa" w:w="80"/>
              <w:right w:type="dxa" w:w="140"/>
            </w:tcMar>
          </w:tcPr>
          <w:p>
            <w:r>
              <w:rPr>
                <w:rFonts w:ascii="Arial" w:cs="Arial" w:eastAsia="Arial" w:hAnsi="Arial"/>
                <w:b w:val="false"/>
                <w:bCs w:val="false"/>
                <w:color w:val="363636"/>
                <w:sz w:val="19"/>
                <w:szCs w:val="19"/>
              </w:rPr>
              <w:t xml:space="preserve">Post-purchase support for a brand without a MediaMarkt counter.</w:t>
            </w:r>
          </w:p>
        </w:tc>
        <w:tc>
          <w:tcPr>
            <w:tcW w:type="dxa" w:w="3800"/>
            <w:tcBorders>
              <w:top w:val="single" w:color="D0D8D9" w:sz="1"/>
              <w:left w:val="single" w:color="D0D8D9" w:sz="1"/>
              <w:bottom w:val="single" w:color="D0D8D9" w:sz="1"/>
              <w:right w:val="single" w:color="D0D8D9" w:sz="1"/>
            </w:tcBorders>
            <w:shd w:fill="F4F8F9" w:val="clear"/>
            <w:tcMar>
              <w:top w:type="dxa" w:w="80"/>
              <w:left w:type="dxa" w:w="140"/>
              <w:bottom w:type="dxa" w:w="80"/>
              <w:right w:type="dxa" w:w="140"/>
            </w:tcMar>
          </w:tcPr>
          <w:p>
            <w:r>
              <w:rPr>
                <w:rFonts w:ascii="Arial" w:cs="Arial" w:eastAsia="Arial" w:hAnsi="Arial"/>
                <w:b w:val="false"/>
                <w:bCs w:val="false"/>
                <w:color w:val="363636"/>
                <w:sz w:val="19"/>
                <w:szCs w:val="19"/>
              </w:rPr>
              <w:t xml:space="preserve">Service contact visible. Warranty duration explicit. Return process clear.</w:t>
            </w:r>
          </w:p>
        </w:tc>
      </w:tr>
    </w:tbl>
    <w:p>
      <w:pPr>
        <w:spacing w:after="200"/>
      </w:pPr>
    </w:p>
    <w:p>
      <w:pPr>
        <w:pStyle w:val="Heading2"/>
        <w:spacing w:before="320" w:after="140"/>
      </w:pPr>
      <w:r>
        <w:rPr>
          <w:rFonts w:ascii="Arial Black" w:cs="Arial Black" w:eastAsia="Arial Black" w:hAnsi="Arial Black"/>
          <w:b/>
          <w:bCs/>
          <w:color w:val="1A1A1A"/>
          <w:sz w:val="28"/>
          <w:szCs w:val="28"/>
        </w:rPr>
        <w:t xml:space="preserve">2.4 Audience Portrait (GWI, Germany, Q2 2025–Q1 2026)</w:t>
      </w:r>
    </w:p>
    <w:p>
      <w:pPr>
        <w:spacing w:before="60" w:after="120" w:line="276"/>
      </w:pPr>
      <w:r>
        <w:rPr>
          <w:rFonts w:ascii="Arial" w:cs="Arial" w:eastAsia="Arial" w:hAnsi="Arial"/>
          <w:color w:val="363636"/>
          <w:sz w:val="22"/>
          <w:szCs w:val="22"/>
        </w:rPr>
        <w:t xml:space="preserve">Consumer survey data from GWI Spark [6] profiles DACH soundbar/speaker owners with precision. These are not demographics for targeting — they are design briefs for copy and messaging.</w:t>
      </w:r>
    </w:p>
    <w:p>
      <w:pPr>
        <w:spacing w:after="80"/>
      </w:pPr>
    </w:p>
    <w:tbl>
      <w:tblPr>
        <w:tblW w:type="dxa" w:w="9840"/>
        <w:tblBorders>
          <w:top w:val="single" w:color="auto" w:sz="4"/>
          <w:left w:val="single" w:color="auto" w:sz="4"/>
          <w:bottom w:val="single" w:color="auto" w:sz="4"/>
          <w:right w:val="single" w:color="auto" w:sz="4"/>
          <w:insideH w:val="single" w:color="auto" w:sz="4"/>
          <w:insideV w:val="single" w:color="auto" w:sz="4"/>
        </w:tblBorders>
      </w:tblPr>
      <w:tblGrid>
        <w:gridCol w:w="3200"/>
        <w:gridCol w:w="2200"/>
        <w:gridCol w:w="4440"/>
      </w:tblGrid>
      <w:tr>
        <w:trPr>
          <w:tblHeader/>
        </w:trPr>
        <w:tc>
          <w:tcPr>
            <w:tcW w:type="dxa" w:w="3200"/>
            <w:tcBorders>
              <w:top w:val="single" w:color="0F6B72" w:sz="1"/>
              <w:left w:val="single" w:color="0F6B72" w:sz="1"/>
              <w:bottom w:val="single" w:color="0F6B72" w:sz="1"/>
              <w:right w:val="single" w:color="0F6B72" w:sz="1"/>
            </w:tcBorders>
            <w:shd w:fill="0F6B72" w:val="clear"/>
            <w:tcMar>
              <w:top w:type="dxa" w:w="100"/>
              <w:left w:type="dxa" w:w="140"/>
              <w:bottom w:type="dxa" w:w="100"/>
              <w:right w:type="dxa" w:w="140"/>
            </w:tcMar>
            <w:vAlign w:val="center"/>
          </w:tcPr>
          <w:p>
            <w:r>
              <w:rPr>
                <w:rFonts w:ascii="Arial" w:cs="Arial" w:eastAsia="Arial" w:hAnsi="Arial"/>
                <w:b/>
                <w:bCs/>
                <w:color w:val="FFFFFF"/>
                <w:sz w:val="19"/>
                <w:szCs w:val="19"/>
              </w:rPr>
              <w:t xml:space="preserve">Signal</w:t>
            </w:r>
          </w:p>
        </w:tc>
        <w:tc>
          <w:tcPr>
            <w:tcW w:type="dxa" w:w="2200"/>
            <w:tcBorders>
              <w:top w:val="single" w:color="0F6B72" w:sz="1"/>
              <w:left w:val="single" w:color="0F6B72" w:sz="1"/>
              <w:bottom w:val="single" w:color="0F6B72" w:sz="1"/>
              <w:right w:val="single" w:color="0F6B72" w:sz="1"/>
            </w:tcBorders>
            <w:shd w:fill="0F6B72" w:val="clear"/>
            <w:tcMar>
              <w:top w:type="dxa" w:w="100"/>
              <w:left w:type="dxa" w:w="140"/>
              <w:bottom w:type="dxa" w:w="100"/>
              <w:right w:type="dxa" w:w="140"/>
            </w:tcMar>
            <w:vAlign w:val="center"/>
          </w:tcPr>
          <w:p>
            <w:r>
              <w:rPr>
                <w:rFonts w:ascii="Arial" w:cs="Arial" w:eastAsia="Arial" w:hAnsi="Arial"/>
                <w:b/>
                <w:bCs/>
                <w:color w:val="FFFFFF"/>
                <w:sz w:val="19"/>
                <w:szCs w:val="19"/>
              </w:rPr>
              <w:t xml:space="preserve">Data</w:t>
            </w:r>
          </w:p>
        </w:tc>
        <w:tc>
          <w:tcPr>
            <w:tcW w:type="dxa" w:w="4440"/>
            <w:tcBorders>
              <w:top w:val="single" w:color="0F6B72" w:sz="1"/>
              <w:left w:val="single" w:color="0F6B72" w:sz="1"/>
              <w:bottom w:val="single" w:color="0F6B72" w:sz="1"/>
              <w:right w:val="single" w:color="0F6B72" w:sz="1"/>
            </w:tcBorders>
            <w:shd w:fill="0F6B72" w:val="clear"/>
            <w:tcMar>
              <w:top w:type="dxa" w:w="100"/>
              <w:left w:type="dxa" w:w="140"/>
              <w:bottom w:type="dxa" w:w="100"/>
              <w:right w:type="dxa" w:w="140"/>
            </w:tcMar>
            <w:vAlign w:val="center"/>
          </w:tcPr>
          <w:p>
            <w:r>
              <w:rPr>
                <w:rFonts w:ascii="Arial" w:cs="Arial" w:eastAsia="Arial" w:hAnsi="Arial"/>
                <w:b/>
                <w:bCs/>
                <w:color w:val="FFFFFF"/>
                <w:sz w:val="19"/>
                <w:szCs w:val="19"/>
              </w:rPr>
              <w:t xml:space="preserve">What it means for the LP</w:t>
            </w:r>
          </w:p>
        </w:tc>
      </w:tr>
      <w:tr>
        <w:tc>
          <w:tcPr>
            <w:tcW w:type="dxa" w:w="3200"/>
            <w:tcBorders>
              <w:top w:val="single" w:color="D0D8D9" w:sz="1"/>
              <w:left w:val="single" w:color="D0D8D9" w:sz="1"/>
              <w:bottom w:val="single" w:color="D0D8D9" w:sz="1"/>
              <w:right w:val="single" w:color="D0D8D9" w:sz="1"/>
            </w:tcBorders>
            <w:shd w:fill="FFFFFF" w:val="clear"/>
            <w:tcMar>
              <w:top w:type="dxa" w:w="80"/>
              <w:left w:type="dxa" w:w="140"/>
              <w:bottom w:type="dxa" w:w="80"/>
              <w:right w:type="dxa" w:w="140"/>
            </w:tcMar>
          </w:tcPr>
          <w:p>
            <w:r>
              <w:rPr>
                <w:rFonts w:ascii="Arial" w:cs="Arial" w:eastAsia="Arial" w:hAnsi="Arial"/>
                <w:b/>
                <w:bCs/>
                <w:color w:val="1A1A1A"/>
                <w:sz w:val="19"/>
                <w:szCs w:val="19"/>
              </w:rPr>
              <w:t xml:space="preserve">Gender split</w:t>
            </w:r>
          </w:p>
        </w:tc>
        <w:tc>
          <w:tcPr>
            <w:tcW w:type="dxa" w:w="2200"/>
            <w:tcBorders>
              <w:top w:val="single" w:color="D0D8D9" w:sz="1"/>
              <w:left w:val="single" w:color="D0D8D9" w:sz="1"/>
              <w:bottom w:val="single" w:color="D0D8D9" w:sz="1"/>
              <w:right w:val="single" w:color="D0D8D9" w:sz="1"/>
            </w:tcBorders>
            <w:shd w:fill="FFFFFF" w:val="clear"/>
            <w:tcMar>
              <w:top w:type="dxa" w:w="80"/>
              <w:left w:type="dxa" w:w="140"/>
              <w:bottom w:type="dxa" w:w="80"/>
              <w:right w:type="dxa" w:w="140"/>
            </w:tcMar>
          </w:tcPr>
          <w:p>
            <w:r>
              <w:rPr>
                <w:rFonts w:ascii="Arial" w:cs="Arial" w:eastAsia="Arial" w:hAnsi="Arial"/>
                <w:b w:val="false"/>
                <w:bCs w:val="false"/>
                <w:color w:val="363636"/>
                <w:sz w:val="19"/>
                <w:szCs w:val="19"/>
              </w:rPr>
              <w:t xml:space="preserve">66% male (Index 132)</w:t>
            </w:r>
          </w:p>
        </w:tc>
        <w:tc>
          <w:tcPr>
            <w:tcW w:type="dxa" w:w="4440"/>
            <w:tcBorders>
              <w:top w:val="single" w:color="D0D8D9" w:sz="1"/>
              <w:left w:val="single" w:color="D0D8D9" w:sz="1"/>
              <w:bottom w:val="single" w:color="D0D8D9" w:sz="1"/>
              <w:right w:val="single" w:color="D0D8D9" w:sz="1"/>
            </w:tcBorders>
            <w:shd w:fill="FFFFFF" w:val="clear"/>
            <w:tcMar>
              <w:top w:type="dxa" w:w="80"/>
              <w:left w:type="dxa" w:w="140"/>
              <w:bottom w:type="dxa" w:w="80"/>
              <w:right w:type="dxa" w:w="140"/>
            </w:tcMar>
          </w:tcPr>
          <w:p>
            <w:r>
              <w:rPr>
                <w:rFonts w:ascii="Arial" w:cs="Arial" w:eastAsia="Arial" w:hAnsi="Arial"/>
                <w:b w:val="false"/>
                <w:bCs w:val="false"/>
                <w:color w:val="363636"/>
                <w:sz w:val="19"/>
                <w:szCs w:val="19"/>
              </w:rPr>
              <w:t xml:space="preserve">Lead with performance and engineering specs, not lifestyle photography. But don't alienate the 34% female buyers.</w:t>
            </w:r>
          </w:p>
        </w:tc>
      </w:tr>
      <w:tr>
        <w:tc>
          <w:tcPr>
            <w:tcW w:type="dxa" w:w="3200"/>
            <w:tcBorders>
              <w:top w:val="single" w:color="D0D8D9" w:sz="1"/>
              <w:left w:val="single" w:color="D0D8D9" w:sz="1"/>
              <w:bottom w:val="single" w:color="D0D8D9" w:sz="1"/>
              <w:right w:val="single" w:color="D0D8D9" w:sz="1"/>
            </w:tcBorders>
            <w:shd w:fill="F4F8F9" w:val="clear"/>
            <w:tcMar>
              <w:top w:type="dxa" w:w="80"/>
              <w:left w:type="dxa" w:w="140"/>
              <w:bottom w:type="dxa" w:w="80"/>
              <w:right w:type="dxa" w:w="140"/>
            </w:tcMar>
          </w:tcPr>
          <w:p>
            <w:r>
              <w:rPr>
                <w:rFonts w:ascii="Arial" w:cs="Arial" w:eastAsia="Arial" w:hAnsi="Arial"/>
                <w:b/>
                <w:bCs/>
                <w:color w:val="1A1A1A"/>
                <w:sz w:val="19"/>
                <w:szCs w:val="19"/>
              </w:rPr>
              <w:t xml:space="preserve">Age skew</w:t>
            </w:r>
          </w:p>
        </w:tc>
        <w:tc>
          <w:tcPr>
            <w:tcW w:type="dxa" w:w="2200"/>
            <w:tcBorders>
              <w:top w:val="single" w:color="D0D8D9" w:sz="1"/>
              <w:left w:val="single" w:color="D0D8D9" w:sz="1"/>
              <w:bottom w:val="single" w:color="D0D8D9" w:sz="1"/>
              <w:right w:val="single" w:color="D0D8D9" w:sz="1"/>
            </w:tcBorders>
            <w:shd w:fill="F4F8F9" w:val="clear"/>
            <w:tcMar>
              <w:top w:type="dxa" w:w="80"/>
              <w:left w:type="dxa" w:w="140"/>
              <w:bottom w:type="dxa" w:w="80"/>
              <w:right w:type="dxa" w:w="140"/>
            </w:tcMar>
          </w:tcPr>
          <w:p>
            <w:r>
              <w:rPr>
                <w:rFonts w:ascii="Arial" w:cs="Arial" w:eastAsia="Arial" w:hAnsi="Arial"/>
                <w:b w:val="false"/>
                <w:bCs w:val="false"/>
                <w:color w:val="363636"/>
                <w:sz w:val="19"/>
                <w:szCs w:val="19"/>
              </w:rPr>
              <w:t xml:space="preserve">Gen Z overindex (Index 166)</w:t>
            </w:r>
          </w:p>
        </w:tc>
        <w:tc>
          <w:tcPr>
            <w:tcW w:type="dxa" w:w="4440"/>
            <w:tcBorders>
              <w:top w:val="single" w:color="D0D8D9" w:sz="1"/>
              <w:left w:val="single" w:color="D0D8D9" w:sz="1"/>
              <w:bottom w:val="single" w:color="D0D8D9" w:sz="1"/>
              <w:right w:val="single" w:color="D0D8D9" w:sz="1"/>
            </w:tcBorders>
            <w:shd w:fill="F4F8F9" w:val="clear"/>
            <w:tcMar>
              <w:top w:type="dxa" w:w="80"/>
              <w:left w:type="dxa" w:w="140"/>
              <w:bottom w:type="dxa" w:w="80"/>
              <w:right w:type="dxa" w:w="140"/>
            </w:tcMar>
          </w:tcPr>
          <w:p>
            <w:r>
              <w:rPr>
                <w:rFonts w:ascii="Arial" w:cs="Arial" w:eastAsia="Arial" w:hAnsi="Arial"/>
                <w:b w:val="false"/>
                <w:bCs w:val="false"/>
                <w:color w:val="363636"/>
                <w:sz w:val="19"/>
                <w:szCs w:val="19"/>
              </w:rPr>
              <w:t xml:space="preserve">Social-native language. Mobile-first layout. Short proof points over long paragraphs. Price sensitivity is high.</w:t>
            </w:r>
          </w:p>
        </w:tc>
      </w:tr>
      <w:tr>
        <w:tc>
          <w:tcPr>
            <w:tcW w:type="dxa" w:w="3200"/>
            <w:tcBorders>
              <w:top w:val="single" w:color="D0D8D9" w:sz="1"/>
              <w:left w:val="single" w:color="D0D8D9" w:sz="1"/>
              <w:bottom w:val="single" w:color="D0D8D9" w:sz="1"/>
              <w:right w:val="single" w:color="D0D8D9" w:sz="1"/>
            </w:tcBorders>
            <w:shd w:fill="FFFFFF" w:val="clear"/>
            <w:tcMar>
              <w:top w:type="dxa" w:w="80"/>
              <w:left w:type="dxa" w:w="140"/>
              <w:bottom w:type="dxa" w:w="80"/>
              <w:right w:type="dxa" w:w="140"/>
            </w:tcMar>
          </w:tcPr>
          <w:p>
            <w:r>
              <w:rPr>
                <w:rFonts w:ascii="Arial" w:cs="Arial" w:eastAsia="Arial" w:hAnsi="Arial"/>
                <w:b/>
                <w:bCs/>
                <w:color w:val="1A1A1A"/>
                <w:sz w:val="19"/>
                <w:szCs w:val="19"/>
              </w:rPr>
              <w:t xml:space="preserve">Household composition</w:t>
            </w:r>
          </w:p>
        </w:tc>
        <w:tc>
          <w:tcPr>
            <w:tcW w:type="dxa" w:w="2200"/>
            <w:tcBorders>
              <w:top w:val="single" w:color="D0D8D9" w:sz="1"/>
              <w:left w:val="single" w:color="D0D8D9" w:sz="1"/>
              <w:bottom w:val="single" w:color="D0D8D9" w:sz="1"/>
              <w:right w:val="single" w:color="D0D8D9" w:sz="1"/>
            </w:tcBorders>
            <w:shd w:fill="FFFFFF" w:val="clear"/>
            <w:tcMar>
              <w:top w:type="dxa" w:w="80"/>
              <w:left w:type="dxa" w:w="140"/>
              <w:bottom w:type="dxa" w:w="80"/>
              <w:right w:type="dxa" w:w="140"/>
            </w:tcMar>
          </w:tcPr>
          <w:p>
            <w:r>
              <w:rPr>
                <w:rFonts w:ascii="Arial" w:cs="Arial" w:eastAsia="Arial" w:hAnsi="Arial"/>
                <w:b w:val="false"/>
                <w:bCs w:val="false"/>
                <w:color w:val="363636"/>
                <w:sz w:val="19"/>
                <w:szCs w:val="19"/>
              </w:rPr>
              <w:t xml:space="preserve">34% have children</w:t>
            </w:r>
          </w:p>
        </w:tc>
        <w:tc>
          <w:tcPr>
            <w:tcW w:type="dxa" w:w="4440"/>
            <w:tcBorders>
              <w:top w:val="single" w:color="D0D8D9" w:sz="1"/>
              <w:left w:val="single" w:color="D0D8D9" w:sz="1"/>
              <w:bottom w:val="single" w:color="D0D8D9" w:sz="1"/>
              <w:right w:val="single" w:color="D0D8D9" w:sz="1"/>
            </w:tcBorders>
            <w:shd w:fill="FFFFFF" w:val="clear"/>
            <w:tcMar>
              <w:top w:type="dxa" w:w="80"/>
              <w:left w:type="dxa" w:w="140"/>
              <w:bottom w:type="dxa" w:w="80"/>
              <w:right w:type="dxa" w:w="140"/>
            </w:tcMar>
          </w:tcPr>
          <w:p>
            <w:r>
              <w:rPr>
                <w:rFonts w:ascii="Arial" w:cs="Arial" w:eastAsia="Arial" w:hAnsi="Arial"/>
                <w:b w:val="false"/>
                <w:bCs w:val="false"/>
                <w:color w:val="363636"/>
                <w:sz w:val="19"/>
                <w:szCs w:val="19"/>
              </w:rPr>
              <w:t xml:space="preserve">"Upgrade your living room sound" frames this as household investment, not personal gadget. Consider showing family viewing context.</w:t>
            </w:r>
          </w:p>
        </w:tc>
      </w:tr>
      <w:tr>
        <w:tc>
          <w:tcPr>
            <w:tcW w:type="dxa" w:w="3200"/>
            <w:tcBorders>
              <w:top w:val="single" w:color="D0D8D9" w:sz="1"/>
              <w:left w:val="single" w:color="D0D8D9" w:sz="1"/>
              <w:bottom w:val="single" w:color="D0D8D9" w:sz="1"/>
              <w:right w:val="single" w:color="D0D8D9" w:sz="1"/>
            </w:tcBorders>
            <w:shd w:fill="F4F8F9" w:val="clear"/>
            <w:tcMar>
              <w:top w:type="dxa" w:w="80"/>
              <w:left w:type="dxa" w:w="140"/>
              <w:bottom w:type="dxa" w:w="80"/>
              <w:right w:type="dxa" w:w="140"/>
            </w:tcMar>
          </w:tcPr>
          <w:p>
            <w:r>
              <w:rPr>
                <w:rFonts w:ascii="Arial" w:cs="Arial" w:eastAsia="Arial" w:hAnsi="Arial"/>
                <w:b/>
                <w:bCs/>
                <w:color w:val="1A1A1A"/>
                <w:sz w:val="19"/>
                <w:szCs w:val="19"/>
              </w:rPr>
              <w:t xml:space="preserve">Trust in reviews</w:t>
            </w:r>
          </w:p>
        </w:tc>
        <w:tc>
          <w:tcPr>
            <w:tcW w:type="dxa" w:w="2200"/>
            <w:tcBorders>
              <w:top w:val="single" w:color="D0D8D9" w:sz="1"/>
              <w:left w:val="single" w:color="D0D8D9" w:sz="1"/>
              <w:bottom w:val="single" w:color="D0D8D9" w:sz="1"/>
              <w:right w:val="single" w:color="D0D8D9" w:sz="1"/>
            </w:tcBorders>
            <w:shd w:fill="F4F8F9" w:val="clear"/>
            <w:tcMar>
              <w:top w:type="dxa" w:w="80"/>
              <w:left w:type="dxa" w:w="140"/>
              <w:bottom w:type="dxa" w:w="80"/>
              <w:right w:type="dxa" w:w="140"/>
            </w:tcMar>
          </w:tcPr>
          <w:p>
            <w:r>
              <w:rPr>
                <w:rFonts w:ascii="Arial" w:cs="Arial" w:eastAsia="Arial" w:hAnsi="Arial"/>
                <w:b w:val="false"/>
                <w:bCs w:val="false"/>
                <w:color w:val="363636"/>
                <w:sz w:val="19"/>
                <w:szCs w:val="19"/>
              </w:rPr>
              <w:t xml:space="preserve">43% actively trust reviews (Index 150)</w:t>
            </w:r>
          </w:p>
        </w:tc>
        <w:tc>
          <w:tcPr>
            <w:tcW w:type="dxa" w:w="4440"/>
            <w:tcBorders>
              <w:top w:val="single" w:color="D0D8D9" w:sz="1"/>
              <w:left w:val="single" w:color="D0D8D9" w:sz="1"/>
              <w:bottom w:val="single" w:color="D0D8D9" w:sz="1"/>
              <w:right w:val="single" w:color="D0D8D9" w:sz="1"/>
            </w:tcBorders>
            <w:shd w:fill="F4F8F9" w:val="clear"/>
            <w:tcMar>
              <w:top w:type="dxa" w:w="80"/>
              <w:left w:type="dxa" w:w="140"/>
              <w:bottom w:type="dxa" w:w="80"/>
              <w:right w:type="dxa" w:w="140"/>
            </w:tcMar>
          </w:tcPr>
          <w:p>
            <w:r>
              <w:rPr>
                <w:rFonts w:ascii="Arial" w:cs="Arial" w:eastAsia="Arial" w:hAnsi="Arial"/>
                <w:b w:val="false"/>
                <w:bCs w:val="false"/>
                <w:color w:val="363636"/>
                <w:sz w:val="19"/>
                <w:szCs w:val="19"/>
              </w:rPr>
              <w:t xml:space="preserve">Reviews must appear in the hero and product sections, not just at the bottom. This audience uses reviews to validate, not just explore.</w:t>
            </w:r>
          </w:p>
        </w:tc>
      </w:tr>
      <w:tr>
        <w:tc>
          <w:tcPr>
            <w:tcW w:type="dxa" w:w="3200"/>
            <w:tcBorders>
              <w:top w:val="single" w:color="D0D8D9" w:sz="1"/>
              <w:left w:val="single" w:color="D0D8D9" w:sz="1"/>
              <w:bottom w:val="single" w:color="D0D8D9" w:sz="1"/>
              <w:right w:val="single" w:color="D0D8D9" w:sz="1"/>
            </w:tcBorders>
            <w:shd w:fill="FFFFFF" w:val="clear"/>
            <w:tcMar>
              <w:top w:type="dxa" w:w="80"/>
              <w:left w:type="dxa" w:w="140"/>
              <w:bottom w:type="dxa" w:w="80"/>
              <w:right w:type="dxa" w:w="140"/>
            </w:tcMar>
          </w:tcPr>
          <w:p>
            <w:r>
              <w:rPr>
                <w:rFonts w:ascii="Arial" w:cs="Arial" w:eastAsia="Arial" w:hAnsi="Arial"/>
                <w:b/>
                <w:bCs/>
                <w:color w:val="1A1A1A"/>
                <w:sz w:val="19"/>
                <w:szCs w:val="19"/>
              </w:rPr>
              <w:t xml:space="preserve">Deal-seeking</w:t>
            </w:r>
          </w:p>
        </w:tc>
        <w:tc>
          <w:tcPr>
            <w:tcW w:type="dxa" w:w="2200"/>
            <w:tcBorders>
              <w:top w:val="single" w:color="D0D8D9" w:sz="1"/>
              <w:left w:val="single" w:color="D0D8D9" w:sz="1"/>
              <w:bottom w:val="single" w:color="D0D8D9" w:sz="1"/>
              <w:right w:val="single" w:color="D0D8D9" w:sz="1"/>
            </w:tcBorders>
            <w:shd w:fill="FFFFFF" w:val="clear"/>
            <w:tcMar>
              <w:top w:type="dxa" w:w="80"/>
              <w:left w:type="dxa" w:w="140"/>
              <w:bottom w:type="dxa" w:w="80"/>
              <w:right w:type="dxa" w:w="140"/>
            </w:tcMar>
          </w:tcPr>
          <w:p>
            <w:r>
              <w:rPr>
                <w:rFonts w:ascii="Arial" w:cs="Arial" w:eastAsia="Arial" w:hAnsi="Arial"/>
                <w:b w:val="false"/>
                <w:bCs w:val="false"/>
                <w:color w:val="363636"/>
                <w:sz w:val="19"/>
                <w:szCs w:val="19"/>
              </w:rPr>
              <w:t xml:space="preserve">71% look for best deals (Index 127)</w:t>
            </w:r>
          </w:p>
        </w:tc>
        <w:tc>
          <w:tcPr>
            <w:tcW w:type="dxa" w:w="4440"/>
            <w:tcBorders>
              <w:top w:val="single" w:color="D0D8D9" w:sz="1"/>
              <w:left w:val="single" w:color="D0D8D9" w:sz="1"/>
              <w:bottom w:val="single" w:color="D0D8D9" w:sz="1"/>
              <w:right w:val="single" w:color="D0D8D9" w:sz="1"/>
            </w:tcBorders>
            <w:shd w:fill="FFFFFF" w:val="clear"/>
            <w:tcMar>
              <w:top w:type="dxa" w:w="80"/>
              <w:left w:type="dxa" w:w="140"/>
              <w:bottom w:type="dxa" w:w="80"/>
              <w:right w:type="dxa" w:w="140"/>
            </w:tcMar>
          </w:tcPr>
          <w:p>
            <w:r>
              <w:rPr>
                <w:rFonts w:ascii="Arial" w:cs="Arial" w:eastAsia="Arial" w:hAnsi="Arial"/>
                <w:b w:val="false"/>
                <w:bCs w:val="false"/>
                <w:color w:val="363636"/>
                <w:sz w:val="19"/>
                <w:szCs w:val="19"/>
              </w:rPr>
              <w:t xml:space="preserve">A sale is expected — it triggers the session. What converts is the quality anchor: "best-in-class sound at sale price."</w:t>
            </w:r>
          </w:p>
        </w:tc>
      </w:tr>
      <w:tr>
        <w:tc>
          <w:tcPr>
            <w:tcW w:type="dxa" w:w="3200"/>
            <w:tcBorders>
              <w:top w:val="single" w:color="D0D8D9" w:sz="1"/>
              <w:left w:val="single" w:color="D0D8D9" w:sz="1"/>
              <w:bottom w:val="single" w:color="D0D8D9" w:sz="1"/>
              <w:right w:val="single" w:color="D0D8D9" w:sz="1"/>
            </w:tcBorders>
            <w:shd w:fill="F4F8F9" w:val="clear"/>
            <w:tcMar>
              <w:top w:type="dxa" w:w="80"/>
              <w:left w:type="dxa" w:w="140"/>
              <w:bottom w:type="dxa" w:w="80"/>
              <w:right w:type="dxa" w:w="140"/>
            </w:tcMar>
          </w:tcPr>
          <w:p>
            <w:r>
              <w:rPr>
                <w:rFonts w:ascii="Arial" w:cs="Arial" w:eastAsia="Arial" w:hAnsi="Arial"/>
                <w:b/>
                <w:bCs/>
                <w:color w:val="1A1A1A"/>
                <w:sz w:val="19"/>
                <w:szCs w:val="19"/>
              </w:rPr>
              <w:t xml:space="preserve">Urgency trigger</w:t>
            </w:r>
          </w:p>
        </w:tc>
        <w:tc>
          <w:tcPr>
            <w:tcW w:type="dxa" w:w="2200"/>
            <w:tcBorders>
              <w:top w:val="single" w:color="D0D8D9" w:sz="1"/>
              <w:left w:val="single" w:color="D0D8D9" w:sz="1"/>
              <w:bottom w:val="single" w:color="D0D8D9" w:sz="1"/>
              <w:right w:val="single" w:color="D0D8D9" w:sz="1"/>
            </w:tcBorders>
            <w:shd w:fill="F4F8F9" w:val="clear"/>
            <w:tcMar>
              <w:top w:type="dxa" w:w="80"/>
              <w:left w:type="dxa" w:w="140"/>
              <w:bottom w:type="dxa" w:w="80"/>
              <w:right w:type="dxa" w:w="140"/>
            </w:tcMar>
          </w:tcPr>
          <w:p>
            <w:r>
              <w:rPr>
                <w:rFonts w:ascii="Arial" w:cs="Arial" w:eastAsia="Arial" w:hAnsi="Arial"/>
                <w:b w:val="false"/>
                <w:bCs w:val="false"/>
                <w:color w:val="363636"/>
                <w:sz w:val="19"/>
                <w:szCs w:val="19"/>
              </w:rPr>
              <w:t xml:space="preserve">36% prioritise buying sooner when motivated (Index 140)</w:t>
            </w:r>
          </w:p>
        </w:tc>
        <w:tc>
          <w:tcPr>
            <w:tcW w:type="dxa" w:w="4440"/>
            <w:tcBorders>
              <w:top w:val="single" w:color="D0D8D9" w:sz="1"/>
              <w:left w:val="single" w:color="D0D8D9" w:sz="1"/>
              <w:bottom w:val="single" w:color="D0D8D9" w:sz="1"/>
              <w:right w:val="single" w:color="D0D8D9" w:sz="1"/>
            </w:tcBorders>
            <w:shd w:fill="F4F8F9" w:val="clear"/>
            <w:tcMar>
              <w:top w:type="dxa" w:w="80"/>
              <w:left w:type="dxa" w:w="140"/>
              <w:bottom w:type="dxa" w:w="80"/>
              <w:right w:type="dxa" w:w="140"/>
            </w:tcMar>
          </w:tcPr>
          <w:p>
            <w:r>
              <w:rPr>
                <w:rFonts w:ascii="Arial" w:cs="Arial" w:eastAsia="Arial" w:hAnsi="Arial"/>
                <w:b w:val="false"/>
                <w:bCs w:val="false"/>
                <w:color w:val="363636"/>
                <w:sz w:val="19"/>
                <w:szCs w:val="19"/>
              </w:rPr>
              <w:t xml:space="preserve">Countdown timer and stock-level urgency work for this audience — but only with real constraints. Fake urgency is spotted.</w:t>
            </w:r>
          </w:p>
        </w:tc>
      </w:tr>
      <w:tr>
        <w:tc>
          <w:tcPr>
            <w:tcW w:type="dxa" w:w="3200"/>
            <w:tcBorders>
              <w:top w:val="single" w:color="D0D8D9" w:sz="1"/>
              <w:left w:val="single" w:color="D0D8D9" w:sz="1"/>
              <w:bottom w:val="single" w:color="D0D8D9" w:sz="1"/>
              <w:right w:val="single" w:color="D0D8D9" w:sz="1"/>
            </w:tcBorders>
            <w:shd w:fill="FFFFFF" w:val="clear"/>
            <w:tcMar>
              <w:top w:type="dxa" w:w="80"/>
              <w:left w:type="dxa" w:w="140"/>
              <w:bottom w:type="dxa" w:w="80"/>
              <w:right w:type="dxa" w:w="140"/>
            </w:tcMar>
          </w:tcPr>
          <w:p>
            <w:r>
              <w:rPr>
                <w:rFonts w:ascii="Arial" w:cs="Arial" w:eastAsia="Arial" w:hAnsi="Arial"/>
                <w:b/>
                <w:bCs/>
                <w:color w:val="1A1A1A"/>
                <w:sz w:val="19"/>
                <w:szCs w:val="19"/>
              </w:rPr>
              <w:t xml:space="preserve">Brand positioning</w:t>
            </w:r>
          </w:p>
        </w:tc>
        <w:tc>
          <w:tcPr>
            <w:tcW w:type="dxa" w:w="2200"/>
            <w:tcBorders>
              <w:top w:val="single" w:color="D0D8D9" w:sz="1"/>
              <w:left w:val="single" w:color="D0D8D9" w:sz="1"/>
              <w:bottom w:val="single" w:color="D0D8D9" w:sz="1"/>
              <w:right w:val="single" w:color="D0D8D9" w:sz="1"/>
            </w:tcBorders>
            <w:shd w:fill="FFFFFF" w:val="clear"/>
            <w:tcMar>
              <w:top w:type="dxa" w:w="80"/>
              <w:left w:type="dxa" w:w="140"/>
              <w:bottom w:type="dxa" w:w="80"/>
              <w:right w:type="dxa" w:w="140"/>
            </w:tcMar>
          </w:tcPr>
          <w:p>
            <w:r>
              <w:rPr>
                <w:rFonts w:ascii="Arial" w:cs="Arial" w:eastAsia="Arial" w:hAnsi="Arial"/>
                <w:b w:val="false"/>
                <w:bCs w:val="false"/>
                <w:color w:val="363636"/>
                <w:sz w:val="19"/>
                <w:szCs w:val="19"/>
              </w:rPr>
              <w:t xml:space="preserve">16% own Bose (Index 191). Only 45% prefer cheaper own-brands (Index 74 = 26% below average).</w:t>
            </w:r>
          </w:p>
        </w:tc>
        <w:tc>
          <w:tcPr>
            <w:tcW w:type="dxa" w:w="4440"/>
            <w:tcBorders>
              <w:top w:val="single" w:color="D0D8D9" w:sz="1"/>
              <w:left w:val="single" w:color="D0D8D9" w:sz="1"/>
              <w:bottom w:val="single" w:color="D0D8D9" w:sz="1"/>
              <w:right w:val="single" w:color="D0D8D9" w:sz="1"/>
            </w:tcBorders>
            <w:shd w:fill="FFFFFF" w:val="clear"/>
            <w:tcMar>
              <w:top w:type="dxa" w:w="80"/>
              <w:left w:type="dxa" w:w="140"/>
              <w:bottom w:type="dxa" w:w="80"/>
              <w:right w:type="dxa" w:w="140"/>
            </w:tcMar>
          </w:tcPr>
          <w:p>
            <w:r>
              <w:rPr>
                <w:rFonts w:ascii="Arial" w:cs="Arial" w:eastAsia="Arial" w:hAnsi="Arial"/>
                <w:b w:val="false"/>
                <w:bCs w:val="false"/>
                <w:color w:val="363636"/>
                <w:sz w:val="19"/>
                <w:szCs w:val="19"/>
              </w:rPr>
              <w:t xml:space="preserve">This audience has above-average brand standards. They own or have considered Bose. Position Teufel as "specialist-grade audio, direct pricing" — not as a budget option.</w:t>
            </w:r>
          </w:p>
        </w:tc>
      </w:tr>
      <w:tr>
        <w:tc>
          <w:tcPr>
            <w:tcW w:type="dxa" w:w="3200"/>
            <w:tcBorders>
              <w:top w:val="single" w:color="D0D8D9" w:sz="1"/>
              <w:left w:val="single" w:color="D0D8D9" w:sz="1"/>
              <w:bottom w:val="single" w:color="D0D8D9" w:sz="1"/>
              <w:right w:val="single" w:color="D0D8D9" w:sz="1"/>
            </w:tcBorders>
            <w:shd w:fill="F4F8F9" w:val="clear"/>
            <w:tcMar>
              <w:top w:type="dxa" w:w="80"/>
              <w:left w:type="dxa" w:w="140"/>
              <w:bottom w:type="dxa" w:w="80"/>
              <w:right w:type="dxa" w:w="140"/>
            </w:tcMar>
          </w:tcPr>
          <w:p>
            <w:r>
              <w:rPr>
                <w:rFonts w:ascii="Arial" w:cs="Arial" w:eastAsia="Arial" w:hAnsi="Arial"/>
                <w:b/>
                <w:bCs/>
                <w:color w:val="1A1A1A"/>
                <w:sz w:val="19"/>
                <w:szCs w:val="19"/>
              </w:rPr>
              <w:t xml:space="preserve">Discovery channel</w:t>
            </w:r>
          </w:p>
        </w:tc>
        <w:tc>
          <w:tcPr>
            <w:tcW w:type="dxa" w:w="2200"/>
            <w:tcBorders>
              <w:top w:val="single" w:color="D0D8D9" w:sz="1"/>
              <w:left w:val="single" w:color="D0D8D9" w:sz="1"/>
              <w:bottom w:val="single" w:color="D0D8D9" w:sz="1"/>
              <w:right w:val="single" w:color="D0D8D9" w:sz="1"/>
            </w:tcBorders>
            <w:shd w:fill="F4F8F9" w:val="clear"/>
            <w:tcMar>
              <w:top w:type="dxa" w:w="80"/>
              <w:left w:type="dxa" w:w="140"/>
              <w:bottom w:type="dxa" w:w="80"/>
              <w:right w:type="dxa" w:w="140"/>
            </w:tcMar>
          </w:tcPr>
          <w:p>
            <w:r>
              <w:rPr>
                <w:rFonts w:ascii="Arial" w:cs="Arial" w:eastAsia="Arial" w:hAnsi="Arial"/>
                <w:b w:val="false"/>
                <w:bCs w:val="false"/>
                <w:color w:val="363636"/>
                <w:sz w:val="19"/>
                <w:szCs w:val="19"/>
              </w:rPr>
              <w:t xml:space="preserve">37% discover brands via social media ads (Index 172)</w:t>
            </w:r>
          </w:p>
        </w:tc>
        <w:tc>
          <w:tcPr>
            <w:tcW w:type="dxa" w:w="4440"/>
            <w:tcBorders>
              <w:top w:val="single" w:color="D0D8D9" w:sz="1"/>
              <w:left w:val="single" w:color="D0D8D9" w:sz="1"/>
              <w:bottom w:val="single" w:color="D0D8D9" w:sz="1"/>
              <w:right w:val="single" w:color="D0D8D9" w:sz="1"/>
            </w:tcBorders>
            <w:shd w:fill="F4F8F9" w:val="clear"/>
            <w:tcMar>
              <w:top w:type="dxa" w:w="80"/>
              <w:left w:type="dxa" w:w="140"/>
              <w:bottom w:type="dxa" w:w="80"/>
              <w:right w:type="dxa" w:w="140"/>
            </w:tcMar>
          </w:tcPr>
          <w:p>
            <w:r>
              <w:rPr>
                <w:rFonts w:ascii="Arial" w:cs="Arial" w:eastAsia="Arial" w:hAnsi="Arial"/>
                <w:b w:val="false"/>
                <w:bCs w:val="false"/>
                <w:color w:val="363636"/>
                <w:sz w:val="19"/>
                <w:szCs w:val="19"/>
              </w:rPr>
              <w:t xml:space="preserve">Landing page must deliver on what the social ad promised. Consistent visual language and offer framing between ad and LP is conversion-critical.</w:t>
            </w:r>
          </w:p>
        </w:tc>
      </w:tr>
    </w:tbl>
    <w:p>
      <w:pPr>
        <w:spacing w:after="80"/>
      </w:pPr>
    </w:p>
    <w:p>
      <w:pPr>
        <w:shd w:fill="D0EAEC" w:color="auto" w:val="clear"/>
        <w:spacing w:before="200" w:after="200"/>
        <w:ind w:left="360" w:right="360"/>
      </w:pPr>
      <w:r>
        <w:rPr>
          <w:rFonts w:ascii="Arial" w:cs="Arial" w:eastAsia="Arial" w:hAnsi="Arial"/>
          <w:b/>
          <w:bCs/>
          <w:color w:val="1A1A1A"/>
          <w:sz w:val="22"/>
          <w:szCs w:val="22"/>
        </w:rPr>
        <w:t xml:space="preserve">Positioning implication: </w:t>
      </w:r>
      <w:r>
        <w:rPr>
          <w:rFonts w:ascii="Arial" w:cs="Arial" w:eastAsia="Arial" w:hAnsi="Arial"/>
          <w:color w:val="363636"/>
          <w:sz w:val="22"/>
          <w:szCs w:val="22"/>
        </w:rPr>
        <w:t xml:space="preserve">Teufel's "same audio engineering, no retailer markup" argument lands perfectly with this audience. They own or have considered Bose; they are not bargain-hunters. "Why pay the Bose premium when Teufel's engineers built the same sound at the source?" is the conversion argument.</w:t>
      </w:r>
    </w:p>
    <w:p>
      <w:pPr>
        <w:spacing w:after="320"/>
      </w:pPr>
    </w:p>
    <w:p>
      <w:r>
        <w:br w:type="page"/>
      </w:r>
    </w:p>
    <w:p>
      <w:pPr>
        <w:pStyle w:val="Heading1"/>
        <w:spacing w:before="600" w:after="200"/>
      </w:pPr>
      <w:r>
        <w:rPr>
          <w:rFonts w:ascii="Arial Black" w:cs="Arial Black" w:eastAsia="Arial Black" w:hAnsi="Arial Black"/>
          <w:b/>
          <w:bCs/>
          <w:color w:val="0A4A4E"/>
          <w:sz w:val="36"/>
          <w:szCs w:val="36"/>
        </w:rPr>
        <w:t xml:space="preserve">3 — Recommended Page Structure</w:t>
      </w:r>
    </w:p>
    <w:p>
      <w:pPr>
        <w:spacing w:before="60" w:after="120" w:line="276"/>
      </w:pPr>
      <w:r>
        <w:rPr>
          <w:rFonts w:ascii="Arial" w:cs="Arial" w:eastAsia="Arial" w:hAnsi="Arial"/>
          <w:color w:val="363636"/>
          <w:sz w:val="22"/>
          <w:szCs w:val="22"/>
        </w:rPr>
        <w:t xml:space="preserve">Nine sections. Each one earns its place by advancing the buyer towards the cart. The sequence follows the DACH decision journey: awareness → validation → evaluation → commitment.</w:t>
      </w:r>
    </w:p>
    <w:p>
      <w:pPr>
        <w:spacing w:after="120"/>
      </w:pPr>
    </w:p>
    <w:p>
      <w:pPr>
        <w:pStyle w:val="Heading3"/>
        <w:spacing w:before="240" w:after="100"/>
      </w:pPr>
      <w:r>
        <w:rPr>
          <w:rFonts w:ascii="Arial" w:cs="Arial" w:eastAsia="Arial" w:hAnsi="Arial"/>
          <w:b/>
          <w:bCs/>
          <w:color w:val="0F6B72"/>
          <w:sz w:val="24"/>
          <w:szCs w:val="24"/>
        </w:rPr>
        <w:t xml:space="preserve">Section 1 — Hero</w:t>
      </w:r>
    </w:p>
    <w:p>
      <w:pPr>
        <w:spacing w:before="60" w:after="120" w:line="276"/>
      </w:pPr>
      <w:r>
        <w:rPr>
          <w:rFonts w:ascii="Arial" w:cs="Arial" w:eastAsia="Arial" w:hAnsi="Arial"/>
          <w:color w:val="363636"/>
          <w:sz w:val="22"/>
          <w:szCs w:val="22"/>
        </w:rPr>
        <w:t xml:space="preserve">The hero has one job: make the buyer feel "this is what I'm looking for at a price that makes sense." Three elements are non-negotiable: a benefit headline, a price anchor (not just the sale price — the original too), and a trust bar beneath the fold break. A countdown timer earns its place only if the end date is genuine.</w:t>
      </w:r>
    </w:p>
    <w:p>
      <w:pPr>
        <w:shd w:fill="D0EAEC" w:color="auto" w:val="clear"/>
        <w:spacing w:before="200" w:after="200"/>
        <w:ind w:left="360" w:right="360"/>
      </w:pPr>
      <w:r>
        <w:rPr>
          <w:rFonts w:ascii="Arial" w:cs="Arial" w:eastAsia="Arial" w:hAnsi="Arial"/>
          <w:b/>
          <w:bCs/>
          <w:color w:val="1A1A1A"/>
          <w:sz w:val="22"/>
          <w:szCs w:val="22"/>
        </w:rPr>
        <w:t xml:space="preserve">Content: </w:t>
      </w:r>
      <w:r>
        <w:rPr>
          <w:rFonts w:ascii="Arial" w:cs="Arial" w:eastAsia="Arial" w:hAnsi="Arial"/>
          <w:color w:val="363636"/>
          <w:sz w:val="22"/>
          <w:szCs w:val="22"/>
        </w:rPr>
        <w:t xml:space="preserve">Headline + subheadline. Hero product image. Sale badge (original → sale price). CTA button. Countdown (if genuine). Trust bar (5 elements in one row).</w:t>
      </w:r>
    </w:p>
    <w:p>
      <w:pPr>
        <w:shd w:fill="E8E5DE" w:color="auto" w:val="clear"/>
        <w:spacing w:before="200" w:after="200"/>
        <w:ind w:left="360" w:right="360"/>
      </w:pPr>
      <w:r>
        <w:rPr>
          <w:rFonts w:ascii="Arial" w:cs="Arial" w:eastAsia="Arial" w:hAnsi="Arial"/>
          <w:b/>
          <w:bCs/>
          <w:color w:val="1A1A1A"/>
          <w:sz w:val="22"/>
          <w:szCs w:val="22"/>
        </w:rPr>
        <w:t xml:space="preserve">Argument: </w:t>
      </w:r>
      <w:r>
        <w:rPr>
          <w:rFonts w:ascii="Arial" w:cs="Arial" w:eastAsia="Arial" w:hAnsi="Arial"/>
          <w:color w:val="363636"/>
          <w:sz w:val="22"/>
          <w:szCs w:val="22"/>
        </w:rPr>
        <w:t xml:space="preserve">The first 3 seconds determine whether the buyer scrolls. Price anchor and benefit headline together answer "is this for me and is it worth it" instantly.</w:t>
      </w:r>
    </w:p>
    <w:p>
      <w:pPr>
        <w:spacing w:after="80"/>
      </w:pPr>
    </w:p>
    <w:p>
      <w:pPr>
        <w:pStyle w:val="Heading3"/>
        <w:spacing w:before="240" w:after="100"/>
      </w:pPr>
      <w:r>
        <w:rPr>
          <w:rFonts w:ascii="Arial" w:cs="Arial" w:eastAsia="Arial" w:hAnsi="Arial"/>
          <w:b/>
          <w:bCs/>
          <w:color w:val="0F6B72"/>
          <w:sz w:val="24"/>
          <w:szCs w:val="24"/>
        </w:rPr>
        <w:t xml:space="preserve">Section 2 — Trust Bar</w:t>
      </w:r>
    </w:p>
    <w:p>
      <w:pPr>
        <w:spacing w:before="60" w:after="120" w:line="276"/>
      </w:pPr>
      <w:r>
        <w:rPr>
          <w:rFonts w:ascii="Arial" w:cs="Arial" w:eastAsia="Arial" w:hAnsi="Arial"/>
          <w:color w:val="363636"/>
          <w:sz w:val="22"/>
          <w:szCs w:val="22"/>
        </w:rPr>
        <w:t xml:space="preserve">Five elements, one row, no prose. This strip lives directly below the hero fold and repeats before the final CTA. It does not need to be prominent — it needs to be present.</w:t>
      </w:r>
    </w:p>
    <w:p>
      <w:pPr>
        <w:shd w:fill="D0EAEC" w:color="auto" w:val="clear"/>
        <w:spacing w:before="200" w:after="200"/>
        <w:ind w:left="360" w:right="360"/>
      </w:pPr>
      <w:r>
        <w:rPr>
          <w:rFonts w:ascii="Arial" w:cs="Arial" w:eastAsia="Arial" w:hAnsi="Arial"/>
          <w:b/>
          <w:bCs/>
          <w:color w:val="1A1A1A"/>
          <w:sz w:val="22"/>
          <w:szCs w:val="22"/>
        </w:rPr>
        <w:t xml:space="preserve">Elements: </w:t>
      </w:r>
      <w:r>
        <w:rPr>
          <w:rFonts w:ascii="Arial" w:cs="Arial" w:eastAsia="Arial" w:hAnsi="Arial"/>
          <w:color w:val="363636"/>
          <w:sz w:val="22"/>
          <w:szCs w:val="22"/>
        </w:rPr>
        <w:t xml:space="preserve">★ X.X/5 Trustpilot (Y Bewertungen) | Stiftung Warentest GUT 2.4 | Kostenlose Lieferung | X Tage Rückgabe | Kostenlose Rückgabe | Bezahlen mit Alma/PayPal/Klarna</w:t>
      </w:r>
    </w:p>
    <w:p>
      <w:pPr>
        <w:shd w:fill="E8E5DE" w:color="auto" w:val="clear"/>
        <w:spacing w:before="200" w:after="200"/>
        <w:ind w:left="360" w:right="360"/>
      </w:pPr>
      <w:r>
        <w:rPr>
          <w:rFonts w:ascii="Arial" w:cs="Arial" w:eastAsia="Arial" w:hAnsi="Arial"/>
          <w:b/>
          <w:bCs/>
          <w:color w:val="1A1A1A"/>
          <w:sz w:val="22"/>
          <w:szCs w:val="22"/>
        </w:rPr>
        <w:t xml:space="preserve">Argument: </w:t>
      </w:r>
      <w:r>
        <w:rPr>
          <w:rFonts w:ascii="Arial" w:cs="Arial" w:eastAsia="Arial" w:hAnsi="Arial"/>
          <w:color w:val="363636"/>
          <w:sz w:val="22"/>
          <w:szCs w:val="22"/>
        </w:rPr>
        <w:t xml:space="preserve">Each element removes one specific objection. Together they take 8 seconds to read and neutralise the DTC trust gap without requiring copy.</w:t>
      </w:r>
    </w:p>
    <w:p>
      <w:pPr>
        <w:spacing w:after="80"/>
      </w:pPr>
    </w:p>
    <w:p>
      <w:pPr>
        <w:pStyle w:val="Heading3"/>
        <w:spacing w:before="240" w:after="100"/>
      </w:pPr>
      <w:r>
        <w:rPr>
          <w:rFonts w:ascii="Arial" w:cs="Arial" w:eastAsia="Arial" w:hAnsi="Arial"/>
          <w:b/>
          <w:bCs/>
          <w:color w:val="0F6B72"/>
          <w:sz w:val="24"/>
          <w:szCs w:val="24"/>
        </w:rPr>
        <w:t xml:space="preserve">Section 3 — Editorial Validation ("Warum Teufel?")</w:t>
      </w:r>
    </w:p>
    <w:p>
      <w:pPr>
        <w:spacing w:before="60" w:after="120" w:line="276"/>
      </w:pPr>
      <w:r>
        <w:rPr>
          <w:rFonts w:ascii="Arial" w:cs="Arial" w:eastAsia="Arial" w:hAnsi="Arial"/>
          <w:color w:val="363636"/>
          <w:sz w:val="22"/>
          <w:szCs w:val="22"/>
        </w:rPr>
        <w:t xml:space="preserve">Before showing products, earn the right to sell. DACH buyers are sceptical of self-promotion; they need third parties to say it first. This section delivers that credibility in under 10 seconds. Three award badges, three short quotes. If Teufel has a Stiftung Warentest Testsieger, it belongs here first.</w:t>
      </w:r>
    </w:p>
    <w:p>
      <w:pPr>
        <w:shd w:fill="D0EAEC" w:color="auto" w:val="clear"/>
        <w:spacing w:before="200" w:after="200"/>
        <w:ind w:left="360" w:right="360"/>
      </w:pPr>
      <w:r>
        <w:rPr>
          <w:rFonts w:ascii="Arial" w:cs="Arial" w:eastAsia="Arial" w:hAnsi="Arial"/>
          <w:b/>
          <w:bCs/>
          <w:color w:val="1A1A1A"/>
          <w:sz w:val="22"/>
          <w:szCs w:val="22"/>
        </w:rPr>
        <w:t xml:space="preserve">Content: </w:t>
      </w:r>
      <w:r>
        <w:rPr>
          <w:rFonts w:ascii="Arial" w:cs="Arial" w:eastAsia="Arial" w:hAnsi="Arial"/>
          <w:color w:val="363636"/>
          <w:sz w:val="22"/>
          <w:szCs w:val="22"/>
        </w:rPr>
        <w:t xml:space="preserve">Award logo grid (Stiftung Warentest, CHIP, hifi.de). One pull-quote per award ("Cinebar 11: Gut 2.4 — Testsieger unter Soundbars mit Subwoofer"). German brand callout: "Berliner Klangspezialisten seit 1979."</w:t>
      </w:r>
    </w:p>
    <w:p>
      <w:pPr>
        <w:shd w:fill="E8E5DE" w:color="auto" w:val="clear"/>
        <w:spacing w:before="200" w:after="200"/>
        <w:ind w:left="360" w:right="360"/>
      </w:pPr>
      <w:r>
        <w:rPr>
          <w:rFonts w:ascii="Arial" w:cs="Arial" w:eastAsia="Arial" w:hAnsi="Arial"/>
          <w:b/>
          <w:bCs/>
          <w:color w:val="1A1A1A"/>
          <w:sz w:val="22"/>
          <w:szCs w:val="22"/>
        </w:rPr>
        <w:t xml:space="preserve">Argument: </w:t>
      </w:r>
      <w:r>
        <w:rPr>
          <w:rFonts w:ascii="Arial" w:cs="Arial" w:eastAsia="Arial" w:hAnsi="Arial"/>
          <w:color w:val="363636"/>
          <w:sz w:val="22"/>
          <w:szCs w:val="22"/>
        </w:rPr>
        <w:t xml:space="preserve">In the DACH electronics market, editorial awards substitute for brand familiarity. Teufel's Stiftung Warentest result is worth more than any headline.</w:t>
      </w:r>
    </w:p>
    <w:p>
      <w:pPr>
        <w:spacing w:after="80"/>
      </w:pPr>
    </w:p>
    <w:p>
      <w:pPr>
        <w:pStyle w:val="Heading3"/>
        <w:spacing w:before="240" w:after="100"/>
      </w:pPr>
      <w:r>
        <w:rPr>
          <w:rFonts w:ascii="Arial" w:cs="Arial" w:eastAsia="Arial" w:hAnsi="Arial"/>
          <w:b/>
          <w:bCs/>
          <w:color w:val="0F6B72"/>
          <w:sz w:val="24"/>
          <w:szCs w:val="24"/>
        </w:rPr>
        <w:t xml:space="preserve">Section 4 — Product Lineup + Offer Block</w:t>
      </w:r>
    </w:p>
    <w:p>
      <w:pPr>
        <w:spacing w:before="60" w:after="120" w:line="276"/>
      </w:pPr>
      <w:r>
        <w:rPr>
          <w:rFonts w:ascii="Arial" w:cs="Arial" w:eastAsia="Arial" w:hAnsi="Arial"/>
          <w:color w:val="363636"/>
          <w:sz w:val="22"/>
          <w:szCs w:val="22"/>
        </w:rPr>
        <w:t xml:space="preserve">Recommend 3 models max for the seasonal LP. More creates choice paralysis. Each model gets a clear tier label and a price anchor. Payment options close the "too expensive" objection for the mid-range buyer.</w:t>
      </w:r>
    </w:p>
    <w:p>
      <w:pPr>
        <w:shd w:fill="D0EAEC" w:color="auto" w:val="clear"/>
        <w:spacing w:before="200" w:after="200"/>
        <w:ind w:left="360" w:right="360"/>
      </w:pPr>
      <w:r>
        <w:rPr>
          <w:rFonts w:ascii="Arial" w:cs="Arial" w:eastAsia="Arial" w:hAnsi="Arial"/>
          <w:b/>
          <w:bCs/>
          <w:color w:val="1A1A1A"/>
          <w:sz w:val="22"/>
          <w:szCs w:val="22"/>
        </w:rPr>
        <w:t xml:space="preserve">Content: </w:t>
      </w:r>
      <w:r>
        <w:rPr>
          <w:rFonts w:ascii="Arial" w:cs="Arial" w:eastAsia="Arial" w:hAnsi="Arial"/>
          <w:color w:val="363636"/>
          <w:sz w:val="22"/>
          <w:szCs w:val="22"/>
        </w:rPr>
        <w:t xml:space="preserve">3 model cards: each with tier label ("Bestseller", "Top Preis-Leistung", "Beste Ausstattung"), 3 bullets per card, strikethrough original price → bold sale price → "Spare X€". Alma financing line ("oder ab X €/Monat, 0% Zinsen"). Sticky add-to-cart activates on scroll.</w:t>
      </w:r>
    </w:p>
    <w:p>
      <w:pPr>
        <w:shd w:fill="E8E5DE" w:color="auto" w:val="clear"/>
        <w:spacing w:before="200" w:after="200"/>
        <w:ind w:left="360" w:right="360"/>
      </w:pPr>
      <w:r>
        <w:rPr>
          <w:rFonts w:ascii="Arial" w:cs="Arial" w:eastAsia="Arial" w:hAnsi="Arial"/>
          <w:b/>
          <w:bCs/>
          <w:color w:val="1A1A1A"/>
          <w:sz w:val="22"/>
          <w:szCs w:val="22"/>
        </w:rPr>
        <w:t xml:space="preserve">Argument: </w:t>
      </w:r>
      <w:r>
        <w:rPr>
          <w:rFonts w:ascii="Arial" w:cs="Arial" w:eastAsia="Arial" w:hAnsi="Arial"/>
          <w:color w:val="363636"/>
          <w:sz w:val="22"/>
          <w:szCs w:val="22"/>
        </w:rPr>
        <w:t xml:space="preserve">Financing converts mid-range hesitant buyers. 0% financing is Teufel's existing mechanic — it belongs on the product card, not hidden in checkout.</w:t>
      </w:r>
    </w:p>
    <w:p>
      <w:pPr>
        <w:spacing w:after="80"/>
      </w:pPr>
    </w:p>
    <w:p>
      <w:pPr>
        <w:pStyle w:val="Heading3"/>
        <w:spacing w:before="240" w:after="100"/>
      </w:pPr>
      <w:r>
        <w:rPr>
          <w:rFonts w:ascii="Arial" w:cs="Arial" w:eastAsia="Arial" w:hAnsi="Arial"/>
          <w:b/>
          <w:bCs/>
          <w:color w:val="0F6B72"/>
          <w:sz w:val="24"/>
          <w:szCs w:val="24"/>
        </w:rPr>
        <w:t xml:space="preserve">Section 5 — Comparison Table ("Teufel im Vergleich")</w:t>
      </w:r>
    </w:p>
    <w:p>
      <w:pPr>
        <w:spacing w:before="60" w:after="120" w:line="276"/>
      </w:pPr>
      <w:r>
        <w:rPr>
          <w:rFonts w:ascii="Arial" w:cs="Arial" w:eastAsia="Arial" w:hAnsi="Arial"/>
          <w:color w:val="363636"/>
          <w:sz w:val="22"/>
          <w:szCs w:val="22"/>
        </w:rPr>
        <w:t xml:space="preserve">This is the SEO and conversion opportunity competitors are ignoring. "Teufel vs Sonos" and "Teufel vs Bose" generate search volume, and Teufel has no content owning those queries. An in-page comparison table closes the #1 objection ("Is it as good as Sonos?") before the buyer opens a new tab to find out.</w:t>
      </w:r>
    </w:p>
    <w:p>
      <w:pPr>
        <w:shd w:fill="D0EAEC" w:color="auto" w:val="clear"/>
        <w:spacing w:before="200" w:after="200"/>
        <w:ind w:left="360" w:right="360"/>
      </w:pPr>
      <w:r>
        <w:rPr>
          <w:rFonts w:ascii="Arial" w:cs="Arial" w:eastAsia="Arial" w:hAnsi="Arial"/>
          <w:b/>
          <w:bCs/>
          <w:color w:val="1A1A1A"/>
          <w:sz w:val="22"/>
          <w:szCs w:val="22"/>
        </w:rPr>
        <w:t xml:space="preserve">Content: </w:t>
      </w:r>
      <w:r>
        <w:rPr>
          <w:rFonts w:ascii="Arial" w:cs="Arial" w:eastAsia="Arial" w:hAnsi="Arial"/>
          <w:color w:val="363636"/>
          <w:sz w:val="22"/>
          <w:szCs w:val="22"/>
        </w:rPr>
        <w:t xml:space="preserve">Teufel vs Bose vs Sonos — 5 rows: Price (direct anchor), Warranty, Return window, Channels/Dolby Atmos, Brand origin. Teufel column highlighted. "German engineering, no middleman markup" line below table.</w:t>
      </w:r>
    </w:p>
    <w:p>
      <w:pPr>
        <w:shd w:fill="E8E5DE" w:color="auto" w:val="clear"/>
        <w:spacing w:before="200" w:after="200"/>
        <w:ind w:left="360" w:right="360"/>
      </w:pPr>
      <w:r>
        <w:rPr>
          <w:rFonts w:ascii="Arial" w:cs="Arial" w:eastAsia="Arial" w:hAnsi="Arial"/>
          <w:b/>
          <w:bCs/>
          <w:color w:val="1A1A1A"/>
          <w:sz w:val="22"/>
          <w:szCs w:val="22"/>
        </w:rPr>
        <w:t xml:space="preserve">Argument: </w:t>
      </w:r>
      <w:r>
        <w:rPr>
          <w:rFonts w:ascii="Arial" w:cs="Arial" w:eastAsia="Arial" w:hAnsi="Arial"/>
          <w:color w:val="363636"/>
          <w:sz w:val="22"/>
          <w:szCs w:val="22"/>
        </w:rPr>
        <w:t xml:space="preserve">Search data shows 45 monthly queries for "Teufel vs Sonos" with zero Teufel content ranking. This section captures that intent AND converts the undecided buyer in the same move. [MEDIUM confidence — DataForSEO DACH data]</w:t>
      </w:r>
    </w:p>
    <w:p>
      <w:pPr>
        <w:spacing w:after="80"/>
      </w:pPr>
    </w:p>
    <w:p>
      <w:pPr>
        <w:pStyle w:val="Heading3"/>
        <w:spacing w:before="240" w:after="100"/>
      </w:pPr>
      <w:r>
        <w:rPr>
          <w:rFonts w:ascii="Arial" w:cs="Arial" w:eastAsia="Arial" w:hAnsi="Arial"/>
          <w:b/>
          <w:bCs/>
          <w:color w:val="0F6B72"/>
          <w:sz w:val="24"/>
          <w:szCs w:val="24"/>
        </w:rPr>
        <w:t xml:space="preserve">Section 6 — Features / USPs</w:t>
      </w:r>
    </w:p>
    <w:p>
      <w:pPr>
        <w:spacing w:before="60" w:after="120" w:line="276"/>
      </w:pPr>
      <w:r>
        <w:rPr>
          <w:rFonts w:ascii="Arial" w:cs="Arial" w:eastAsia="Arial" w:hAnsi="Arial"/>
          <w:color w:val="363636"/>
          <w:sz w:val="22"/>
          <w:szCs w:val="22"/>
        </w:rPr>
        <w:t xml:space="preserve">Translate technical specs into buyer benefits. Each feature gets an icon, a benefit statement, and a one-line "what this means for you." Avoid spec lists — this section is for doubters, not engineers.</w:t>
      </w:r>
    </w:p>
    <w:p>
      <w:pPr>
        <w:shd w:fill="D0EAEC" w:color="auto" w:val="clear"/>
        <w:spacing w:before="200" w:after="200"/>
        <w:ind w:left="360" w:right="360"/>
      </w:pPr>
      <w:r>
        <w:rPr>
          <w:rFonts w:ascii="Arial" w:cs="Arial" w:eastAsia="Arial" w:hAnsi="Arial"/>
          <w:b/>
          <w:bCs/>
          <w:color w:val="1A1A1A"/>
          <w:sz w:val="22"/>
          <w:szCs w:val="22"/>
        </w:rPr>
        <w:t xml:space="preserve">Content: </w:t>
      </w:r>
      <w:r>
        <w:rPr>
          <w:rFonts w:ascii="Arial" w:cs="Arial" w:eastAsia="Arial" w:hAnsi="Arial"/>
          <w:color w:val="363636"/>
          <w:sz w:val="22"/>
          <w:szCs w:val="22"/>
        </w:rPr>
        <w:t xml:space="preserve">Dolby Atmos ("Klingt wie im Kino — auch ohne Aufpreis"), HDMI eARC ("Plug &amp; Play mit Ihrem TV — keine Einstellungen nötig"), Wireless Subwoofer ("Kein Kabel. Kein Kompromiss."), German engineering ("In Berlin entwickelt seit 1979").</w:t>
      </w:r>
    </w:p>
    <w:p>
      <w:pPr>
        <w:spacing w:after="80"/>
      </w:pPr>
    </w:p>
    <w:p>
      <w:pPr>
        <w:pStyle w:val="Heading3"/>
        <w:spacing w:before="240" w:after="100"/>
      </w:pPr>
      <w:r>
        <w:rPr>
          <w:rFonts w:ascii="Arial" w:cs="Arial" w:eastAsia="Arial" w:hAnsi="Arial"/>
          <w:b/>
          <w:bCs/>
          <w:color w:val="0F6B72"/>
          <w:sz w:val="24"/>
          <w:szCs w:val="24"/>
        </w:rPr>
        <w:t xml:space="preserve">Section 7 — Customer Reviews</w:t>
      </w:r>
    </w:p>
    <w:p>
      <w:pPr>
        <w:spacing w:before="60" w:after="120" w:line="276"/>
      </w:pPr>
      <w:r>
        <w:rPr>
          <w:rFonts w:ascii="Arial" w:cs="Arial" w:eastAsia="Arial" w:hAnsi="Arial"/>
          <w:color w:val="363636"/>
          <w:sz w:val="22"/>
          <w:szCs w:val="22"/>
        </w:rPr>
        <w:t xml:space="preserve">Trustpilot integration or embedded reviews with star ratings. Real names + locations (Stadt, Germany) add credibility. Filterable by use case if resources allow (Film, Musik, Serie).</w:t>
      </w:r>
    </w:p>
    <w:p>
      <w:pPr>
        <w:shd w:fill="D0EAEC" w:color="auto" w:val="clear"/>
        <w:spacing w:before="200" w:after="200"/>
        <w:ind w:left="360" w:right="360"/>
      </w:pPr>
      <w:r>
        <w:rPr>
          <w:rFonts w:ascii="Arial" w:cs="Arial" w:eastAsia="Arial" w:hAnsi="Arial"/>
          <w:b/>
          <w:bCs/>
          <w:color w:val="1A1A1A"/>
          <w:sz w:val="22"/>
          <w:szCs w:val="22"/>
        </w:rPr>
        <w:t xml:space="preserve">Content: </w:t>
      </w:r>
      <w:r>
        <w:rPr>
          <w:rFonts w:ascii="Arial" w:cs="Arial" w:eastAsia="Arial" w:hAnsi="Arial"/>
          <w:color w:val="363636"/>
          <w:sz w:val="22"/>
          <w:szCs w:val="22"/>
        </w:rPr>
        <w:t xml:space="preserve">Star rating + total count (e.g. "4.6 von 5 aus 12.400 Bewertungen"). 4–6 review quotes. Filter tabs if possible. "Weitere Bewertungen auf Trustpilot" link.</w:t>
      </w:r>
    </w:p>
    <w:p>
      <w:pPr>
        <w:spacing w:after="80"/>
      </w:pPr>
    </w:p>
    <w:p>
      <w:pPr>
        <w:pStyle w:val="Heading3"/>
        <w:spacing w:before="240" w:after="100"/>
      </w:pPr>
      <w:r>
        <w:rPr>
          <w:rFonts w:ascii="Arial" w:cs="Arial" w:eastAsia="Arial" w:hAnsi="Arial"/>
          <w:b/>
          <w:bCs/>
          <w:color w:val="0F6B72"/>
          <w:sz w:val="24"/>
          <w:szCs w:val="24"/>
        </w:rPr>
        <w:t xml:space="preserve">Section 8 — Setup Confidence ("In 3 Schritten zum perfekten Klang")</w:t>
      </w:r>
    </w:p>
    <w:p>
      <w:pPr>
        <w:spacing w:before="60" w:after="120" w:line="276"/>
      </w:pPr>
      <w:r>
        <w:rPr>
          <w:rFonts w:ascii="Arial" w:cs="Arial" w:eastAsia="Arial" w:hAnsi="Arial"/>
          <w:color w:val="363636"/>
          <w:sz w:val="22"/>
          <w:szCs w:val="22"/>
        </w:rPr>
        <w:t xml:space="preserve">Setup anxiety is a genuine DACH purchase barrier. Forum data shows HDMI eARC questions appear repeatedly. A 3-step illustrated setup removes this objection faster than any FAQ answer.</w:t>
      </w:r>
    </w:p>
    <w:p>
      <w:pPr>
        <w:shd w:fill="D0EAEC" w:color="auto" w:val="clear"/>
        <w:spacing w:before="200" w:after="200"/>
        <w:ind w:left="360" w:right="360"/>
      </w:pPr>
      <w:r>
        <w:rPr>
          <w:rFonts w:ascii="Arial" w:cs="Arial" w:eastAsia="Arial" w:hAnsi="Arial"/>
          <w:b/>
          <w:bCs/>
          <w:color w:val="1A1A1A"/>
          <w:sz w:val="22"/>
          <w:szCs w:val="22"/>
        </w:rPr>
        <w:t xml:space="preserve">Content: </w:t>
      </w:r>
      <w:r>
        <w:rPr>
          <w:rFonts w:ascii="Arial" w:cs="Arial" w:eastAsia="Arial" w:hAnsi="Arial"/>
          <w:color w:val="363636"/>
          <w:sz w:val="22"/>
          <w:szCs w:val="22"/>
        </w:rPr>
        <w:t xml:space="preserve">3 steps: 1. Unboxen und aufstellen (&lt; 5 min), 2. Mit Ihrem TV verbinden (HDMI eARC oder optisch), 3. Genießen. Compatibility note: "Funktioniert mit Samsung, LG, Sony, Philips und allen gängigen TV-Marken." Optional: 1-minute setup video embed.</w:t>
      </w:r>
    </w:p>
    <w:p>
      <w:pPr>
        <w:spacing w:after="80"/>
      </w:pPr>
    </w:p>
    <w:p>
      <w:pPr>
        <w:pStyle w:val="Heading3"/>
        <w:spacing w:before="240" w:after="100"/>
      </w:pPr>
      <w:r>
        <w:rPr>
          <w:rFonts w:ascii="Arial" w:cs="Arial" w:eastAsia="Arial" w:hAnsi="Arial"/>
          <w:b/>
          <w:bCs/>
          <w:color w:val="0F6B72"/>
          <w:sz w:val="24"/>
          <w:szCs w:val="24"/>
        </w:rPr>
        <w:t xml:space="preserve">Section 9 — FAQ</w:t>
      </w:r>
    </w:p>
    <w:p>
      <w:pPr>
        <w:spacing w:before="60" w:after="120" w:line="276"/>
      </w:pPr>
      <w:r>
        <w:rPr>
          <w:rFonts w:ascii="Arial" w:cs="Arial" w:eastAsia="Arial" w:hAnsi="Arial"/>
          <w:color w:val="363636"/>
          <w:sz w:val="22"/>
          <w:szCs w:val="22"/>
        </w:rPr>
        <w:t xml:space="preserve">Minimum 4 questions, addressing the 4 objections that survive the rest of the page. Keep answers under 3 sentences each.</w:t>
      </w:r>
    </w:p>
    <w:p>
      <w:pPr>
        <w:shd w:fill="D0EAEC" w:color="auto" w:val="clear"/>
        <w:spacing w:before="200" w:after="200"/>
        <w:ind w:left="360" w:right="360"/>
      </w:pPr>
      <w:r>
        <w:rPr>
          <w:rFonts w:ascii="Arial" w:cs="Arial" w:eastAsia="Arial" w:hAnsi="Arial"/>
          <w:b/>
          <w:bCs/>
          <w:color w:val="1A1A1A"/>
          <w:sz w:val="22"/>
          <w:szCs w:val="22"/>
        </w:rPr>
        <w:t xml:space="preserve">Content: </w:t>
      </w:r>
      <w:r>
        <w:rPr>
          <w:rFonts w:ascii="Arial" w:cs="Arial" w:eastAsia="Arial" w:hAnsi="Arial"/>
          <w:color w:val="363636"/>
          <w:sz w:val="22"/>
          <w:szCs w:val="22"/>
        </w:rPr>
        <w:t xml:space="preserve">1. "Ist Teufel so gut wie Bose oder Sonos?" 2. "Passt die Soundbar zu meinem TV?" 3. "Kann ich die Soundbar zurückschicken?" 4. "Wie lange ist die Garantie?" 5. "Welche Soundbar passt zu mir?" (product recommendation)</w:t>
      </w:r>
    </w:p>
    <w:p>
      <w:pPr>
        <w:spacing w:after="80"/>
      </w:pPr>
    </w:p>
    <w:p>
      <w:pPr>
        <w:pStyle w:val="Heading3"/>
        <w:spacing w:before="240" w:after="100"/>
      </w:pPr>
      <w:r>
        <w:rPr>
          <w:rFonts w:ascii="Arial" w:cs="Arial" w:eastAsia="Arial" w:hAnsi="Arial"/>
          <w:b/>
          <w:bCs/>
          <w:color w:val="0F6B72"/>
          <w:sz w:val="24"/>
          <w:szCs w:val="24"/>
        </w:rPr>
        <w:t xml:space="preserve">Section 10 — Final CTA Block</w:t>
      </w:r>
    </w:p>
    <w:p>
      <w:pPr>
        <w:spacing w:before="60" w:after="120" w:line="276"/>
      </w:pPr>
      <w:r>
        <w:rPr>
          <w:rFonts w:ascii="Arial" w:cs="Arial" w:eastAsia="Arial" w:hAnsi="Arial"/>
          <w:color w:val="363636"/>
          <w:sz w:val="22"/>
          <w:szCs w:val="22"/>
        </w:rPr>
        <w:t xml:space="preserve">Repeat the close: sale date/countdown, primary CTA, and the 5 trust elements from the trust bar. This is for the buyer who scrolled the whole page and is now ready to decide.</w:t>
      </w:r>
    </w:p>
    <w:p>
      <w:pPr>
        <w:shd w:fill="D0EAEC" w:color="auto" w:val="clear"/>
        <w:spacing w:before="200" w:after="200"/>
        <w:ind w:left="360" w:right="360"/>
      </w:pPr>
      <w:r>
        <w:rPr>
          <w:rFonts w:ascii="Arial" w:cs="Arial" w:eastAsia="Arial" w:hAnsi="Arial"/>
          <w:b/>
          <w:bCs/>
          <w:color w:val="1A1A1A"/>
          <w:sz w:val="22"/>
          <w:szCs w:val="22"/>
        </w:rPr>
        <w:t xml:space="preserve">Content: </w:t>
      </w:r>
      <w:r>
        <w:rPr>
          <w:rFonts w:ascii="Arial" w:cs="Arial" w:eastAsia="Arial" w:hAnsi="Arial"/>
          <w:color w:val="363636"/>
          <w:sz w:val="22"/>
          <w:szCs w:val="22"/>
        </w:rPr>
        <w:t xml:space="preserve">Countdown (if genuine) + "Sound Days endet am [DATE]". Primary CTA button. Sub-CTA: "Modell vergleichen". Trust bar repeat.</w:t>
      </w:r>
    </w:p>
    <w:p>
      <w:pPr>
        <w:spacing w:after="320"/>
      </w:pPr>
    </w:p>
    <w:p>
      <w:r>
        <w:br w:type="page"/>
      </w:r>
    </w:p>
    <w:p>
      <w:pPr>
        <w:pStyle w:val="Heading1"/>
        <w:spacing w:before="600" w:after="200"/>
      </w:pPr>
      <w:r>
        <w:rPr>
          <w:rFonts w:ascii="Arial Black" w:cs="Arial Black" w:eastAsia="Arial Black" w:hAnsi="Arial Black"/>
          <w:b/>
          <w:bCs/>
          <w:color w:val="0A4A4E"/>
          <w:sz w:val="36"/>
          <w:szCs w:val="36"/>
        </w:rPr>
        <w:t xml:space="preserve">4 — Copy Direction</w:t>
      </w:r>
    </w:p>
    <w:p>
      <w:pPr>
        <w:spacing w:before="60" w:after="120" w:line="276"/>
      </w:pPr>
      <w:r>
        <w:rPr>
          <w:rFonts w:ascii="Arial" w:cs="Arial" w:eastAsia="Arial" w:hAnsi="Arial"/>
          <w:color w:val="363636"/>
          <w:sz w:val="22"/>
          <w:szCs w:val="22"/>
        </w:rPr>
        <w:t xml:space="preserve">Three principles shape all copy on this page: (1) Value beats brand — lead with what the buyer gets, not who Teufel is. (2) Specificity beats vagueness — "Bis zu 47%" is weaker than "Cinebar 11: Jetzt €329 statt €399". (3) German understatement beats hype — avoid superlatives without third-party backing.</w:t>
      </w:r>
    </w:p>
    <w:p>
      <w:pPr>
        <w:spacing w:after="120"/>
      </w:pPr>
    </w:p>
    <w:p>
      <w:pPr>
        <w:pStyle w:val="Heading2"/>
        <w:spacing w:before="320" w:after="140"/>
      </w:pPr>
      <w:r>
        <w:rPr>
          <w:rFonts w:ascii="Arial Black" w:cs="Arial Black" w:eastAsia="Arial Black" w:hAnsi="Arial Black"/>
          <w:b/>
          <w:bCs/>
          <w:color w:val="1A1A1A"/>
          <w:sz w:val="28"/>
          <w:szCs w:val="28"/>
        </w:rPr>
        <w:t xml:space="preserve">4.1 Headline Options</w:t>
      </w:r>
    </w:p>
    <w:p>
      <w:pPr>
        <w:spacing w:before="60" w:after="120" w:line="276"/>
      </w:pPr>
      <w:r>
        <w:rPr>
          <w:rFonts w:ascii="Arial" w:cs="Arial" w:eastAsia="Arial" w:hAnsi="Arial"/>
          <w:color w:val="363636"/>
          <w:sz w:val="22"/>
          <w:szCs w:val="22"/>
        </w:rPr>
        <w:t xml:space="preserve">Three options for the hero headline. Option A is the recommended starting point for a seasonal sale page targeting value-conscious buyers.</w:t>
      </w:r>
    </w:p>
    <w:p>
      <w:pPr>
        <w:spacing w:after="80"/>
      </w:pPr>
    </w:p>
    <w:tbl>
      <w:tblPr>
        <w:tblW w:type="dxa" w:w="9840"/>
        <w:tblBorders>
          <w:top w:val="single" w:color="auto" w:sz="4"/>
          <w:left w:val="single" w:color="auto" w:sz="4"/>
          <w:bottom w:val="single" w:color="auto" w:sz="4"/>
          <w:right w:val="single" w:color="auto" w:sz="4"/>
          <w:insideH w:val="single" w:color="auto" w:sz="4"/>
          <w:insideV w:val="single" w:color="auto" w:sz="4"/>
        </w:tblBorders>
      </w:tblPr>
      <w:tblGrid>
        <w:gridCol w:w="600"/>
        <w:gridCol w:w="4200"/>
        <w:gridCol w:w="5040"/>
      </w:tblGrid>
      <w:tr>
        <w:trPr>
          <w:tblHeader/>
        </w:trPr>
        <w:tc>
          <w:tcPr>
            <w:tcW w:type="dxa" w:w="600"/>
            <w:tcBorders>
              <w:top w:val="single" w:color="0F6B72" w:sz="1"/>
              <w:left w:val="single" w:color="0F6B72" w:sz="1"/>
              <w:bottom w:val="single" w:color="0F6B72" w:sz="1"/>
              <w:right w:val="single" w:color="0F6B72" w:sz="1"/>
            </w:tcBorders>
            <w:shd w:fill="0F6B72" w:val="clear"/>
            <w:tcMar>
              <w:top w:type="dxa" w:w="100"/>
              <w:left w:type="dxa" w:w="140"/>
              <w:bottom w:type="dxa" w:w="100"/>
              <w:right w:type="dxa" w:w="140"/>
            </w:tcMar>
            <w:vAlign w:val="center"/>
          </w:tcPr>
          <w:p>
            <w:r>
              <w:rPr>
                <w:rFonts w:ascii="Arial" w:cs="Arial" w:eastAsia="Arial" w:hAnsi="Arial"/>
                <w:b/>
                <w:bCs/>
                <w:color w:val="FFFFFF"/>
                <w:sz w:val="19"/>
                <w:szCs w:val="19"/>
              </w:rPr>
              <w:t xml:space="preserve">#</w:t>
            </w:r>
          </w:p>
        </w:tc>
        <w:tc>
          <w:tcPr>
            <w:tcW w:type="dxa" w:w="4200"/>
            <w:tcBorders>
              <w:top w:val="single" w:color="0F6B72" w:sz="1"/>
              <w:left w:val="single" w:color="0F6B72" w:sz="1"/>
              <w:bottom w:val="single" w:color="0F6B72" w:sz="1"/>
              <w:right w:val="single" w:color="0F6B72" w:sz="1"/>
            </w:tcBorders>
            <w:shd w:fill="0F6B72" w:val="clear"/>
            <w:tcMar>
              <w:top w:type="dxa" w:w="100"/>
              <w:left w:type="dxa" w:w="140"/>
              <w:bottom w:type="dxa" w:w="100"/>
              <w:right w:type="dxa" w:w="140"/>
            </w:tcMar>
            <w:vAlign w:val="center"/>
          </w:tcPr>
          <w:p>
            <w:r>
              <w:rPr>
                <w:rFonts w:ascii="Arial" w:cs="Arial" w:eastAsia="Arial" w:hAnsi="Arial"/>
                <w:b/>
                <w:bCs/>
                <w:color w:val="FFFFFF"/>
                <w:sz w:val="19"/>
                <w:szCs w:val="19"/>
              </w:rPr>
              <w:t xml:space="preserve">Headline</w:t>
            </w:r>
          </w:p>
        </w:tc>
        <w:tc>
          <w:tcPr>
            <w:tcW w:type="dxa" w:w="5040"/>
            <w:tcBorders>
              <w:top w:val="single" w:color="0F6B72" w:sz="1"/>
              <w:left w:val="single" w:color="0F6B72" w:sz="1"/>
              <w:bottom w:val="single" w:color="0F6B72" w:sz="1"/>
              <w:right w:val="single" w:color="0F6B72" w:sz="1"/>
            </w:tcBorders>
            <w:shd w:fill="0F6B72" w:val="clear"/>
            <w:tcMar>
              <w:top w:type="dxa" w:w="100"/>
              <w:left w:type="dxa" w:w="140"/>
              <w:bottom w:type="dxa" w:w="100"/>
              <w:right w:type="dxa" w:w="140"/>
            </w:tcMar>
            <w:vAlign w:val="center"/>
          </w:tcPr>
          <w:p>
            <w:r>
              <w:rPr>
                <w:rFonts w:ascii="Arial" w:cs="Arial" w:eastAsia="Arial" w:hAnsi="Arial"/>
                <w:b/>
                <w:bCs/>
                <w:color w:val="FFFFFF"/>
                <w:sz w:val="19"/>
                <w:szCs w:val="19"/>
              </w:rPr>
              <w:t xml:space="preserve">Why it works</w:t>
            </w:r>
          </w:p>
        </w:tc>
      </w:tr>
      <w:tr>
        <w:tc>
          <w:tcPr>
            <w:tcW w:type="dxa" w:w="600"/>
            <w:tcBorders>
              <w:top w:val="single" w:color="D0D8D9" w:sz="1"/>
              <w:left w:val="single" w:color="D0D8D9" w:sz="1"/>
              <w:bottom w:val="single" w:color="D0D8D9" w:sz="1"/>
              <w:right w:val="single" w:color="D0D8D9" w:sz="1"/>
            </w:tcBorders>
            <w:shd w:fill="FFFFFF" w:val="clear"/>
            <w:tcMar>
              <w:top w:type="dxa" w:w="80"/>
              <w:left w:type="dxa" w:w="140"/>
              <w:bottom w:type="dxa" w:w="80"/>
              <w:right w:type="dxa" w:w="140"/>
            </w:tcMar>
          </w:tcPr>
          <w:p>
            <w:r>
              <w:rPr>
                <w:rFonts w:ascii="Arial" w:cs="Arial" w:eastAsia="Arial" w:hAnsi="Arial"/>
                <w:b/>
                <w:bCs/>
                <w:color w:val="1A1A1A"/>
                <w:sz w:val="19"/>
                <w:szCs w:val="19"/>
              </w:rPr>
              <w:t xml:space="preserve">A ★</w:t>
            </w:r>
          </w:p>
        </w:tc>
        <w:tc>
          <w:tcPr>
            <w:tcW w:type="dxa" w:w="4200"/>
            <w:tcBorders>
              <w:top w:val="single" w:color="D0D8D9" w:sz="1"/>
              <w:left w:val="single" w:color="D0D8D9" w:sz="1"/>
              <w:bottom w:val="single" w:color="D0D8D9" w:sz="1"/>
              <w:right w:val="single" w:color="D0D8D9" w:sz="1"/>
            </w:tcBorders>
            <w:shd w:fill="FFFFFF" w:val="clear"/>
            <w:tcMar>
              <w:top w:type="dxa" w:w="80"/>
              <w:left w:type="dxa" w:w="140"/>
              <w:bottom w:type="dxa" w:w="80"/>
              <w:right w:type="dxa" w:w="140"/>
            </w:tcMar>
          </w:tcPr>
          <w:p>
            <w:r>
              <w:rPr>
                <w:rFonts w:ascii="Arial" w:cs="Arial" w:eastAsia="Arial" w:hAnsi="Arial"/>
                <w:b w:val="false"/>
                <w:bCs w:val="false"/>
                <w:color w:val="363636"/>
                <w:sz w:val="19"/>
                <w:szCs w:val="19"/>
              </w:rPr>
              <w:t xml:space="preserve">Kinoklang. Zum Preis, der Sinn macht.</w:t>
            </w:r>
          </w:p>
        </w:tc>
        <w:tc>
          <w:tcPr>
            <w:tcW w:type="dxa" w:w="5040"/>
            <w:tcBorders>
              <w:top w:val="single" w:color="D0D8D9" w:sz="1"/>
              <w:left w:val="single" w:color="D0D8D9" w:sz="1"/>
              <w:bottom w:val="single" w:color="D0D8D9" w:sz="1"/>
              <w:right w:val="single" w:color="D0D8D9" w:sz="1"/>
            </w:tcBorders>
            <w:shd w:fill="FFFFFF" w:val="clear"/>
            <w:tcMar>
              <w:top w:type="dxa" w:w="80"/>
              <w:left w:type="dxa" w:w="140"/>
              <w:bottom w:type="dxa" w:w="80"/>
              <w:right w:type="dxa" w:w="140"/>
            </w:tcMar>
          </w:tcPr>
          <w:p>
            <w:r>
              <w:rPr>
                <w:rFonts w:ascii="Arial" w:cs="Arial" w:eastAsia="Arial" w:hAnsi="Arial"/>
                <w:b w:val="false"/>
                <w:bCs w:val="false"/>
                <w:color w:val="363636"/>
                <w:sz w:val="19"/>
                <w:szCs w:val="19"/>
              </w:rPr>
              <w:t xml:space="preserve">Emotional benefit first ("Kino"), value reassurance second. No feature claims, no superlatives. Works in any season.</w:t>
            </w:r>
          </w:p>
        </w:tc>
      </w:tr>
      <w:tr>
        <w:tc>
          <w:tcPr>
            <w:tcW w:type="dxa" w:w="600"/>
            <w:tcBorders>
              <w:top w:val="single" w:color="D0D8D9" w:sz="1"/>
              <w:left w:val="single" w:color="D0D8D9" w:sz="1"/>
              <w:bottom w:val="single" w:color="D0D8D9" w:sz="1"/>
              <w:right w:val="single" w:color="D0D8D9" w:sz="1"/>
            </w:tcBorders>
            <w:shd w:fill="F4F8F9" w:val="clear"/>
            <w:tcMar>
              <w:top w:type="dxa" w:w="80"/>
              <w:left w:type="dxa" w:w="140"/>
              <w:bottom w:type="dxa" w:w="80"/>
              <w:right w:type="dxa" w:w="140"/>
            </w:tcMar>
          </w:tcPr>
          <w:p>
            <w:r>
              <w:rPr>
                <w:rFonts w:ascii="Arial" w:cs="Arial" w:eastAsia="Arial" w:hAnsi="Arial"/>
                <w:b w:val="false"/>
                <w:bCs w:val="false"/>
                <w:color w:val="363636"/>
                <w:sz w:val="19"/>
                <w:szCs w:val="19"/>
              </w:rPr>
              <w:t xml:space="preserve">B</w:t>
            </w:r>
          </w:p>
        </w:tc>
        <w:tc>
          <w:tcPr>
            <w:tcW w:type="dxa" w:w="4200"/>
            <w:tcBorders>
              <w:top w:val="single" w:color="D0D8D9" w:sz="1"/>
              <w:left w:val="single" w:color="D0D8D9" w:sz="1"/>
              <w:bottom w:val="single" w:color="D0D8D9" w:sz="1"/>
              <w:right w:val="single" w:color="D0D8D9" w:sz="1"/>
            </w:tcBorders>
            <w:shd w:fill="F4F8F9" w:val="clear"/>
            <w:tcMar>
              <w:top w:type="dxa" w:w="80"/>
              <w:left w:type="dxa" w:w="140"/>
              <w:bottom w:type="dxa" w:w="80"/>
              <w:right w:type="dxa" w:w="140"/>
            </w:tcMar>
          </w:tcPr>
          <w:p>
            <w:r>
              <w:rPr>
                <w:rFonts w:ascii="Arial" w:cs="Arial" w:eastAsia="Arial" w:hAnsi="Arial"/>
                <w:b w:val="false"/>
                <w:bCs w:val="false"/>
                <w:color w:val="363636"/>
                <w:sz w:val="19"/>
                <w:szCs w:val="19"/>
              </w:rPr>
              <w:t xml:space="preserve">Besserer TV-Sound. Direkt vom Hersteller.</w:t>
            </w:r>
          </w:p>
        </w:tc>
        <w:tc>
          <w:tcPr>
            <w:tcW w:type="dxa" w:w="5040"/>
            <w:tcBorders>
              <w:top w:val="single" w:color="D0D8D9" w:sz="1"/>
              <w:left w:val="single" w:color="D0D8D9" w:sz="1"/>
              <w:bottom w:val="single" w:color="D0D8D9" w:sz="1"/>
              <w:right w:val="single" w:color="D0D8D9" w:sz="1"/>
            </w:tcBorders>
            <w:shd w:fill="F4F8F9" w:val="clear"/>
            <w:tcMar>
              <w:top w:type="dxa" w:w="80"/>
              <w:left w:type="dxa" w:w="140"/>
              <w:bottom w:type="dxa" w:w="80"/>
              <w:right w:type="dxa" w:w="140"/>
            </w:tcMar>
          </w:tcPr>
          <w:p>
            <w:r>
              <w:rPr>
                <w:rFonts w:ascii="Arial" w:cs="Arial" w:eastAsia="Arial" w:hAnsi="Arial"/>
                <w:b w:val="false"/>
                <w:bCs w:val="false"/>
                <w:color w:val="363636"/>
                <w:sz w:val="19"/>
                <w:szCs w:val="19"/>
              </w:rPr>
              <w:t xml:space="preserve">DTC value prop explicit. SEO-functional. Works well when paired with a strong pricing sub-message.</w:t>
            </w:r>
          </w:p>
        </w:tc>
      </w:tr>
      <w:tr>
        <w:tc>
          <w:tcPr>
            <w:tcW w:type="dxa" w:w="600"/>
            <w:tcBorders>
              <w:top w:val="single" w:color="D0D8D9" w:sz="1"/>
              <w:left w:val="single" w:color="D0D8D9" w:sz="1"/>
              <w:bottom w:val="single" w:color="D0D8D9" w:sz="1"/>
              <w:right w:val="single" w:color="D0D8D9" w:sz="1"/>
            </w:tcBorders>
            <w:shd w:fill="FFFFFF" w:val="clear"/>
            <w:tcMar>
              <w:top w:type="dxa" w:w="80"/>
              <w:left w:type="dxa" w:w="140"/>
              <w:bottom w:type="dxa" w:w="80"/>
              <w:right w:type="dxa" w:w="140"/>
            </w:tcMar>
          </w:tcPr>
          <w:p>
            <w:r>
              <w:rPr>
                <w:rFonts w:ascii="Arial" w:cs="Arial" w:eastAsia="Arial" w:hAnsi="Arial"/>
                <w:b w:val="false"/>
                <w:bCs w:val="false"/>
                <w:color w:val="363636"/>
                <w:sz w:val="19"/>
                <w:szCs w:val="19"/>
              </w:rPr>
              <w:t xml:space="preserve">C</w:t>
            </w:r>
          </w:p>
        </w:tc>
        <w:tc>
          <w:tcPr>
            <w:tcW w:type="dxa" w:w="4200"/>
            <w:tcBorders>
              <w:top w:val="single" w:color="D0D8D9" w:sz="1"/>
              <w:left w:val="single" w:color="D0D8D9" w:sz="1"/>
              <w:bottom w:val="single" w:color="D0D8D9" w:sz="1"/>
              <w:right w:val="single" w:color="D0D8D9" w:sz="1"/>
            </w:tcBorders>
            <w:shd w:fill="FFFFFF" w:val="clear"/>
            <w:tcMar>
              <w:top w:type="dxa" w:w="80"/>
              <w:left w:type="dxa" w:w="140"/>
              <w:bottom w:type="dxa" w:w="80"/>
              <w:right w:type="dxa" w:w="140"/>
            </w:tcMar>
          </w:tcPr>
          <w:p>
            <w:r>
              <w:rPr>
                <w:rFonts w:ascii="Arial" w:cs="Arial" w:eastAsia="Arial" w:hAnsi="Arial"/>
                <w:b w:val="false"/>
                <w:bCs w:val="false"/>
                <w:color w:val="363636"/>
                <w:sz w:val="19"/>
                <w:szCs w:val="19"/>
              </w:rPr>
              <w:t xml:space="preserve">Bis zu 47% gespart. Sound, der bleibt.</w:t>
            </w:r>
          </w:p>
        </w:tc>
        <w:tc>
          <w:tcPr>
            <w:tcW w:type="dxa" w:w="5040"/>
            <w:tcBorders>
              <w:top w:val="single" w:color="D0D8D9" w:sz="1"/>
              <w:left w:val="single" w:color="D0D8D9" w:sz="1"/>
              <w:bottom w:val="single" w:color="D0D8D9" w:sz="1"/>
              <w:right w:val="single" w:color="D0D8D9" w:sz="1"/>
            </w:tcBorders>
            <w:shd w:fill="FFFFFF" w:val="clear"/>
            <w:tcMar>
              <w:top w:type="dxa" w:w="80"/>
              <w:left w:type="dxa" w:w="140"/>
              <w:bottom w:type="dxa" w:w="80"/>
              <w:right w:type="dxa" w:w="140"/>
            </w:tcMar>
          </w:tcPr>
          <w:p>
            <w:r>
              <w:rPr>
                <w:rFonts w:ascii="Arial" w:cs="Arial" w:eastAsia="Arial" w:hAnsi="Arial"/>
                <w:b w:val="false"/>
                <w:bCs w:val="false"/>
                <w:color w:val="363636"/>
                <w:sz w:val="19"/>
                <w:szCs w:val="19"/>
              </w:rPr>
              <w:t xml:space="preserve">Promotional mode — highest urgency, lowest brand-building. Use for peak sale days (e.g. Sound Days opening).</w:t>
            </w:r>
          </w:p>
        </w:tc>
      </w:tr>
    </w:tbl>
    <w:p>
      <w:pPr>
        <w:spacing w:after="200"/>
      </w:pPr>
    </w:p>
    <w:p>
      <w:pPr>
        <w:pStyle w:val="Heading2"/>
        <w:spacing w:before="320" w:after="140"/>
      </w:pPr>
      <w:r>
        <w:rPr>
          <w:rFonts w:ascii="Arial Black" w:cs="Arial Black" w:eastAsia="Arial Black" w:hAnsi="Arial Black"/>
          <w:b/>
          <w:bCs/>
          <w:color w:val="1A1A1A"/>
          <w:sz w:val="28"/>
          <w:szCs w:val="28"/>
        </w:rPr>
        <w:t xml:space="preserve">4.2 Subheadline Options</w:t>
      </w:r>
    </w:p>
    <w:tbl>
      <w:tblPr>
        <w:tblW w:type="dxa" w:w="9840"/>
        <w:tblBorders>
          <w:top w:val="single" w:color="auto" w:sz="4"/>
          <w:left w:val="single" w:color="auto" w:sz="4"/>
          <w:bottom w:val="single" w:color="auto" w:sz="4"/>
          <w:right w:val="single" w:color="auto" w:sz="4"/>
          <w:insideH w:val="single" w:color="auto" w:sz="4"/>
          <w:insideV w:val="single" w:color="auto" w:sz="4"/>
        </w:tblBorders>
      </w:tblPr>
      <w:tblGrid>
        <w:gridCol w:w="600"/>
        <w:gridCol w:w="4200"/>
        <w:gridCol w:w="5040"/>
      </w:tblGrid>
      <w:tr>
        <w:trPr>
          <w:tblHeader/>
        </w:trPr>
        <w:tc>
          <w:tcPr>
            <w:tcW w:type="dxa" w:w="600"/>
            <w:tcBorders>
              <w:top w:val="single" w:color="0F6B72" w:sz="1"/>
              <w:left w:val="single" w:color="0F6B72" w:sz="1"/>
              <w:bottom w:val="single" w:color="0F6B72" w:sz="1"/>
              <w:right w:val="single" w:color="0F6B72" w:sz="1"/>
            </w:tcBorders>
            <w:shd w:fill="0F6B72" w:val="clear"/>
            <w:tcMar>
              <w:top w:type="dxa" w:w="100"/>
              <w:left w:type="dxa" w:w="140"/>
              <w:bottom w:type="dxa" w:w="100"/>
              <w:right w:type="dxa" w:w="140"/>
            </w:tcMar>
            <w:vAlign w:val="center"/>
          </w:tcPr>
          <w:p>
            <w:r>
              <w:rPr>
                <w:rFonts w:ascii="Arial" w:cs="Arial" w:eastAsia="Arial" w:hAnsi="Arial"/>
                <w:b/>
                <w:bCs/>
                <w:color w:val="FFFFFF"/>
                <w:sz w:val="19"/>
                <w:szCs w:val="19"/>
              </w:rPr>
              <w:t xml:space="preserve">#</w:t>
            </w:r>
          </w:p>
        </w:tc>
        <w:tc>
          <w:tcPr>
            <w:tcW w:type="dxa" w:w="4200"/>
            <w:tcBorders>
              <w:top w:val="single" w:color="0F6B72" w:sz="1"/>
              <w:left w:val="single" w:color="0F6B72" w:sz="1"/>
              <w:bottom w:val="single" w:color="0F6B72" w:sz="1"/>
              <w:right w:val="single" w:color="0F6B72" w:sz="1"/>
            </w:tcBorders>
            <w:shd w:fill="0F6B72" w:val="clear"/>
            <w:tcMar>
              <w:top w:type="dxa" w:w="100"/>
              <w:left w:type="dxa" w:w="140"/>
              <w:bottom w:type="dxa" w:w="100"/>
              <w:right w:type="dxa" w:w="140"/>
            </w:tcMar>
            <w:vAlign w:val="center"/>
          </w:tcPr>
          <w:p>
            <w:r>
              <w:rPr>
                <w:rFonts w:ascii="Arial" w:cs="Arial" w:eastAsia="Arial" w:hAnsi="Arial"/>
                <w:b/>
                <w:bCs/>
                <w:color w:val="FFFFFF"/>
                <w:sz w:val="19"/>
                <w:szCs w:val="19"/>
              </w:rPr>
              <w:t xml:space="preserve">Subheadline</w:t>
            </w:r>
          </w:p>
        </w:tc>
        <w:tc>
          <w:tcPr>
            <w:tcW w:type="dxa" w:w="5040"/>
            <w:tcBorders>
              <w:top w:val="single" w:color="0F6B72" w:sz="1"/>
              <w:left w:val="single" w:color="0F6B72" w:sz="1"/>
              <w:bottom w:val="single" w:color="0F6B72" w:sz="1"/>
              <w:right w:val="single" w:color="0F6B72" w:sz="1"/>
            </w:tcBorders>
            <w:shd w:fill="0F6B72" w:val="clear"/>
            <w:tcMar>
              <w:top w:type="dxa" w:w="100"/>
              <w:left w:type="dxa" w:w="140"/>
              <w:bottom w:type="dxa" w:w="100"/>
              <w:right w:type="dxa" w:w="140"/>
            </w:tcMar>
            <w:vAlign w:val="center"/>
          </w:tcPr>
          <w:p>
            <w:r>
              <w:rPr>
                <w:rFonts w:ascii="Arial" w:cs="Arial" w:eastAsia="Arial" w:hAnsi="Arial"/>
                <w:b/>
                <w:bCs/>
                <w:color w:val="FFFFFF"/>
                <w:sz w:val="19"/>
                <w:szCs w:val="19"/>
              </w:rPr>
              <w:t xml:space="preserve">When to use</w:t>
            </w:r>
          </w:p>
        </w:tc>
      </w:tr>
      <w:tr>
        <w:tc>
          <w:tcPr>
            <w:tcW w:type="dxa" w:w="600"/>
            <w:tcBorders>
              <w:top w:val="single" w:color="D0D8D9" w:sz="1"/>
              <w:left w:val="single" w:color="D0D8D9" w:sz="1"/>
              <w:bottom w:val="single" w:color="D0D8D9" w:sz="1"/>
              <w:right w:val="single" w:color="D0D8D9" w:sz="1"/>
            </w:tcBorders>
            <w:shd w:fill="FFFFFF" w:val="clear"/>
            <w:tcMar>
              <w:top w:type="dxa" w:w="80"/>
              <w:left w:type="dxa" w:w="140"/>
              <w:bottom w:type="dxa" w:w="80"/>
              <w:right w:type="dxa" w:w="140"/>
            </w:tcMar>
          </w:tcPr>
          <w:p>
            <w:r>
              <w:rPr>
                <w:rFonts w:ascii="Arial" w:cs="Arial" w:eastAsia="Arial" w:hAnsi="Arial"/>
                <w:b/>
                <w:bCs/>
                <w:color w:val="1A1A1A"/>
                <w:sz w:val="19"/>
                <w:szCs w:val="19"/>
              </w:rPr>
              <w:t xml:space="preserve">A ★</w:t>
            </w:r>
          </w:p>
        </w:tc>
        <w:tc>
          <w:tcPr>
            <w:tcW w:type="dxa" w:w="4200"/>
            <w:tcBorders>
              <w:top w:val="single" w:color="D0D8D9" w:sz="1"/>
              <w:left w:val="single" w:color="D0D8D9" w:sz="1"/>
              <w:bottom w:val="single" w:color="D0D8D9" w:sz="1"/>
              <w:right w:val="single" w:color="D0D8D9" w:sz="1"/>
            </w:tcBorders>
            <w:shd w:fill="FFFFFF" w:val="clear"/>
            <w:tcMar>
              <w:top w:type="dxa" w:w="80"/>
              <w:left w:type="dxa" w:w="140"/>
              <w:bottom w:type="dxa" w:w="80"/>
              <w:right w:type="dxa" w:w="140"/>
            </w:tcMar>
          </w:tcPr>
          <w:p>
            <w:r>
              <w:rPr>
                <w:rFonts w:ascii="Arial" w:cs="Arial" w:eastAsia="Arial" w:hAnsi="Arial"/>
                <w:b w:val="false"/>
                <w:bCs w:val="false"/>
                <w:color w:val="363636"/>
                <w:sz w:val="19"/>
                <w:szCs w:val="19"/>
              </w:rPr>
              <w:t xml:space="preserve">Sound Days: Ausgewählte CINEBAR Modelle jetzt bis zu 47% günstiger — nur bis [DATUM].</w:t>
            </w:r>
          </w:p>
        </w:tc>
        <w:tc>
          <w:tcPr>
            <w:tcW w:type="dxa" w:w="5040"/>
            <w:tcBorders>
              <w:top w:val="single" w:color="D0D8D9" w:sz="1"/>
              <w:left w:val="single" w:color="D0D8D9" w:sz="1"/>
              <w:bottom w:val="single" w:color="D0D8D9" w:sz="1"/>
              <w:right w:val="single" w:color="D0D8D9" w:sz="1"/>
            </w:tcBorders>
            <w:shd w:fill="FFFFFF" w:val="clear"/>
            <w:tcMar>
              <w:top w:type="dxa" w:w="80"/>
              <w:left w:type="dxa" w:w="140"/>
              <w:bottom w:type="dxa" w:w="80"/>
              <w:right w:type="dxa" w:w="140"/>
            </w:tcMar>
          </w:tcPr>
          <w:p>
            <w:r>
              <w:rPr>
                <w:rFonts w:ascii="Arial" w:cs="Arial" w:eastAsia="Arial" w:hAnsi="Arial"/>
                <w:b w:val="false"/>
                <w:bCs w:val="false"/>
                <w:color w:val="363636"/>
                <w:sz w:val="19"/>
                <w:szCs w:val="19"/>
              </w:rPr>
              <w:t xml:space="preserve">Recommended for the sale period. Combines urgency (DATUM), scope (CINEBAR), and discount (47%).</w:t>
            </w:r>
          </w:p>
        </w:tc>
      </w:tr>
      <w:tr>
        <w:tc>
          <w:tcPr>
            <w:tcW w:type="dxa" w:w="600"/>
            <w:tcBorders>
              <w:top w:val="single" w:color="D0D8D9" w:sz="1"/>
              <w:left w:val="single" w:color="D0D8D9" w:sz="1"/>
              <w:bottom w:val="single" w:color="D0D8D9" w:sz="1"/>
              <w:right w:val="single" w:color="D0D8D9" w:sz="1"/>
            </w:tcBorders>
            <w:shd w:fill="F4F8F9" w:val="clear"/>
            <w:tcMar>
              <w:top w:type="dxa" w:w="80"/>
              <w:left w:type="dxa" w:w="140"/>
              <w:bottom w:type="dxa" w:w="80"/>
              <w:right w:type="dxa" w:w="140"/>
            </w:tcMar>
          </w:tcPr>
          <w:p>
            <w:r>
              <w:rPr>
                <w:rFonts w:ascii="Arial" w:cs="Arial" w:eastAsia="Arial" w:hAnsi="Arial"/>
                <w:b w:val="false"/>
                <w:bCs w:val="false"/>
                <w:color w:val="363636"/>
                <w:sz w:val="19"/>
                <w:szCs w:val="19"/>
              </w:rPr>
              <w:t xml:space="preserve">B</w:t>
            </w:r>
          </w:p>
        </w:tc>
        <w:tc>
          <w:tcPr>
            <w:tcW w:type="dxa" w:w="4200"/>
            <w:tcBorders>
              <w:top w:val="single" w:color="D0D8D9" w:sz="1"/>
              <w:left w:val="single" w:color="D0D8D9" w:sz="1"/>
              <w:bottom w:val="single" w:color="D0D8D9" w:sz="1"/>
              <w:right w:val="single" w:color="D0D8D9" w:sz="1"/>
            </w:tcBorders>
            <w:shd w:fill="F4F8F9" w:val="clear"/>
            <w:tcMar>
              <w:top w:type="dxa" w:w="80"/>
              <w:left w:type="dxa" w:w="140"/>
              <w:bottom w:type="dxa" w:w="80"/>
              <w:right w:type="dxa" w:w="140"/>
            </w:tcMar>
          </w:tcPr>
          <w:p>
            <w:r>
              <w:rPr>
                <w:rFonts w:ascii="Arial" w:cs="Arial" w:eastAsia="Arial" w:hAnsi="Arial"/>
                <w:b w:val="false"/>
                <w:bCs w:val="false"/>
                <w:color w:val="363636"/>
                <w:sz w:val="19"/>
                <w:szCs w:val="19"/>
              </w:rPr>
              <w:t xml:space="preserve">Seit 1979 in Berlin entwickelt. Kein Händleraufschlag. Direkt zu Ihnen.</w:t>
            </w:r>
          </w:p>
        </w:tc>
        <w:tc>
          <w:tcPr>
            <w:tcW w:type="dxa" w:w="5040"/>
            <w:tcBorders>
              <w:top w:val="single" w:color="D0D8D9" w:sz="1"/>
              <w:left w:val="single" w:color="D0D8D9" w:sz="1"/>
              <w:bottom w:val="single" w:color="D0D8D9" w:sz="1"/>
              <w:right w:val="single" w:color="D0D8D9" w:sz="1"/>
            </w:tcBorders>
            <w:shd w:fill="F4F8F9" w:val="clear"/>
            <w:tcMar>
              <w:top w:type="dxa" w:w="80"/>
              <w:left w:type="dxa" w:w="140"/>
              <w:bottom w:type="dxa" w:w="80"/>
              <w:right w:type="dxa" w:w="140"/>
            </w:tcMar>
          </w:tcPr>
          <w:p>
            <w:r>
              <w:rPr>
                <w:rFonts w:ascii="Arial" w:cs="Arial" w:eastAsia="Arial" w:hAnsi="Arial"/>
                <w:b w:val="false"/>
                <w:bCs w:val="false"/>
                <w:color w:val="363636"/>
                <w:sz w:val="19"/>
                <w:szCs w:val="19"/>
              </w:rPr>
              <w:t xml:space="preserve">DTC trust and German-origin angle. Use as secondary subheadline or for evergreen page version.</w:t>
            </w:r>
          </w:p>
        </w:tc>
      </w:tr>
    </w:tbl>
    <w:p>
      <w:pPr>
        <w:spacing w:after="200"/>
      </w:pPr>
    </w:p>
    <w:p>
      <w:pPr>
        <w:pStyle w:val="Heading2"/>
        <w:spacing w:before="320" w:after="140"/>
      </w:pPr>
      <w:r>
        <w:rPr>
          <w:rFonts w:ascii="Arial Black" w:cs="Arial Black" w:eastAsia="Arial Black" w:hAnsi="Arial Black"/>
          <w:b/>
          <w:bCs/>
          <w:color w:val="1A1A1A"/>
          <w:sz w:val="28"/>
          <w:szCs w:val="28"/>
        </w:rPr>
        <w:t xml:space="preserve">4.3 Key Messages (pick 3–4 for the page body)</w:t>
      </w:r>
    </w:p>
    <w:p>
      <w:pPr>
        <w:pStyle w:val="ListParagraph"/>
        <w:numPr>
          <w:ilvl w:val="0"/>
          <w:numId w:val="2"/>
        </w:numPr>
        <w:spacing w:before="40" w:after="80"/>
      </w:pPr>
      <w:r>
        <w:rPr>
          <w:rFonts w:ascii="Arial" w:cs="Arial" w:eastAsia="Arial" w:hAnsi="Arial"/>
          <w:b/>
          <w:bCs/>
          <w:color w:val="1A1A1A"/>
          <w:sz w:val="22"/>
          <w:szCs w:val="22"/>
        </w:rPr>
        <w:t xml:space="preserve">"Kein Händleraufschlag — mehr Sound für Ihr Geld."</w:t>
      </w:r>
      <w:r>
        <w:rPr>
          <w:rFonts w:ascii="Arial" w:cs="Arial" w:eastAsia="Arial" w:hAnsi="Arial"/>
          <w:color w:val="363636"/>
          <w:sz w:val="22"/>
          <w:szCs w:val="22"/>
        </w:rPr>
        <w:t xml:space="preserve"> Direct-to-consumer positioned as buyer benefit, not brand story.</w:t>
      </w:r>
    </w:p>
    <w:p>
      <w:pPr>
        <w:pStyle w:val="ListParagraph"/>
        <w:numPr>
          <w:ilvl w:val="0"/>
          <w:numId w:val="2"/>
        </w:numPr>
        <w:spacing w:before="40" w:after="80"/>
      </w:pPr>
      <w:r>
        <w:rPr>
          <w:rFonts w:ascii="Arial" w:cs="Arial" w:eastAsia="Arial" w:hAnsi="Arial"/>
          <w:b/>
          <w:bCs/>
          <w:color w:val="1A1A1A"/>
          <w:sz w:val="22"/>
          <w:szCs w:val="22"/>
        </w:rPr>
        <w:t xml:space="preserve">"Stiftung Warentest: Cinebar 11 erhält 'Gut (2.4)' — Testsieger mit Subwoofer."</w:t>
      </w:r>
      <w:r>
        <w:rPr>
          <w:rFonts w:ascii="Arial" w:cs="Arial" w:eastAsia="Arial" w:hAnsi="Arial"/>
          <w:color w:val="363636"/>
          <w:sz w:val="22"/>
          <w:szCs w:val="22"/>
        </w:rPr>
        <w:t xml:space="preserve"> Third-party validation. Source: test.de. Requires current score confirmation before use.</w:t>
      </w:r>
    </w:p>
    <w:p>
      <w:pPr>
        <w:pStyle w:val="ListParagraph"/>
        <w:numPr>
          <w:ilvl w:val="0"/>
          <w:numId w:val="2"/>
        </w:numPr>
        <w:spacing w:before="40" w:after="80"/>
      </w:pPr>
      <w:r>
        <w:rPr>
          <w:rFonts w:ascii="Arial" w:cs="Arial" w:eastAsia="Arial" w:hAnsi="Arial"/>
          <w:b/>
          <w:bCs/>
          <w:color w:val="1A1A1A"/>
          <w:sz w:val="22"/>
          <w:szCs w:val="22"/>
        </w:rPr>
        <w:t xml:space="preserve">"30 Tage Rückgabe — weil wir an unseren Sound glauben."</w:t>
      </w:r>
      <w:r>
        <w:rPr>
          <w:rFonts w:ascii="Arial" w:cs="Arial" w:eastAsia="Arial" w:hAnsi="Arial"/>
          <w:color w:val="363636"/>
          <w:sz w:val="22"/>
          <w:szCs w:val="22"/>
        </w:rPr>
        <w:t xml:space="preserve"> Converts the DTC hesitant buyer. The 30-day number should be confirmed against Teufel's actual policy.</w:t>
      </w:r>
    </w:p>
    <w:p>
      <w:pPr>
        <w:pStyle w:val="ListParagraph"/>
        <w:numPr>
          <w:ilvl w:val="0"/>
          <w:numId w:val="2"/>
        </w:numPr>
        <w:spacing w:before="40" w:after="80"/>
      </w:pPr>
      <w:r>
        <w:rPr>
          <w:rFonts w:ascii="Arial" w:cs="Arial" w:eastAsia="Arial" w:hAnsi="Arial"/>
          <w:b/>
          <w:bCs/>
          <w:color w:val="1A1A1A"/>
          <w:sz w:val="22"/>
          <w:szCs w:val="22"/>
        </w:rPr>
        <w:t xml:space="preserve">"HDMI eARC: funktioniert mit Samsung, LG, Sony und allen gängigen TV-Marken."</w:t>
      </w:r>
      <w:r>
        <w:rPr>
          <w:rFonts w:ascii="Arial" w:cs="Arial" w:eastAsia="Arial" w:hAnsi="Arial"/>
          <w:color w:val="363636"/>
          <w:sz w:val="22"/>
          <w:szCs w:val="22"/>
        </w:rPr>
        <w:t xml:space="preserve"> Directly addresses setup anxiety. Confirm spec applies to all featured models.</w:t>
      </w:r>
    </w:p>
    <w:p>
      <w:pPr>
        <w:pStyle w:val="ListParagraph"/>
        <w:numPr>
          <w:ilvl w:val="0"/>
          <w:numId w:val="2"/>
        </w:numPr>
        <w:spacing w:before="40" w:after="80"/>
      </w:pPr>
      <w:r>
        <w:rPr>
          <w:rFonts w:ascii="Arial" w:cs="Arial" w:eastAsia="Arial" w:hAnsi="Arial"/>
          <w:b/>
          <w:bCs/>
          <w:color w:val="1A1A1A"/>
          <w:sz w:val="22"/>
          <w:szCs w:val="22"/>
        </w:rPr>
        <w:t xml:space="preserve">"Berliner Klangspezialisten seit 1979 — Qualität ohne Kompromisse."</w:t>
      </w:r>
      <w:r>
        <w:rPr>
          <w:rFonts w:ascii="Arial" w:cs="Arial" w:eastAsia="Arial" w:hAnsi="Arial"/>
          <w:color w:val="363636"/>
          <w:sz w:val="22"/>
          <w:szCs w:val="22"/>
        </w:rPr>
        <w:t xml:space="preserve"> Brand origin and longevity. Counters "unknown DTC brand" perception.</w:t>
      </w:r>
    </w:p>
    <w:p>
      <w:pPr>
        <w:spacing w:after="200"/>
      </w:pPr>
    </w:p>
    <w:p>
      <w:pPr>
        <w:pStyle w:val="Heading2"/>
        <w:spacing w:before="320" w:after="140"/>
      </w:pPr>
      <w:r>
        <w:rPr>
          <w:rFonts w:ascii="Arial Black" w:cs="Arial Black" w:eastAsia="Arial Black" w:hAnsi="Arial Black"/>
          <w:b/>
          <w:bCs/>
          <w:color w:val="1A1A1A"/>
          <w:sz w:val="28"/>
          <w:szCs w:val="28"/>
        </w:rPr>
        <w:t xml:space="preserve">4.4 Primary CTA Options</w:t>
      </w:r>
    </w:p>
    <w:tbl>
      <w:tblPr>
        <w:tblW w:type="dxa" w:w="9840"/>
        <w:tblBorders>
          <w:top w:val="single" w:color="auto" w:sz="4"/>
          <w:left w:val="single" w:color="auto" w:sz="4"/>
          <w:bottom w:val="single" w:color="auto" w:sz="4"/>
          <w:right w:val="single" w:color="auto" w:sz="4"/>
          <w:insideH w:val="single" w:color="auto" w:sz="4"/>
          <w:insideV w:val="single" w:color="auto" w:sz="4"/>
        </w:tblBorders>
      </w:tblPr>
      <w:tblGrid>
        <w:gridCol w:w="600"/>
        <w:gridCol w:w="3600"/>
        <w:gridCol w:w="5640"/>
      </w:tblGrid>
      <w:tr>
        <w:trPr>
          <w:tblHeader/>
        </w:trPr>
        <w:tc>
          <w:tcPr>
            <w:tcW w:type="dxa" w:w="600"/>
            <w:tcBorders>
              <w:top w:val="single" w:color="0F6B72" w:sz="1"/>
              <w:left w:val="single" w:color="0F6B72" w:sz="1"/>
              <w:bottom w:val="single" w:color="0F6B72" w:sz="1"/>
              <w:right w:val="single" w:color="0F6B72" w:sz="1"/>
            </w:tcBorders>
            <w:shd w:fill="0F6B72" w:val="clear"/>
            <w:tcMar>
              <w:top w:type="dxa" w:w="100"/>
              <w:left w:type="dxa" w:w="140"/>
              <w:bottom w:type="dxa" w:w="100"/>
              <w:right w:type="dxa" w:w="140"/>
            </w:tcMar>
            <w:vAlign w:val="center"/>
          </w:tcPr>
          <w:p>
            <w:r>
              <w:rPr>
                <w:rFonts w:ascii="Arial" w:cs="Arial" w:eastAsia="Arial" w:hAnsi="Arial"/>
                <w:b/>
                <w:bCs/>
                <w:color w:val="FFFFFF"/>
                <w:sz w:val="19"/>
                <w:szCs w:val="19"/>
              </w:rPr>
              <w:t xml:space="preserve">#</w:t>
            </w:r>
          </w:p>
        </w:tc>
        <w:tc>
          <w:tcPr>
            <w:tcW w:type="dxa" w:w="3600"/>
            <w:tcBorders>
              <w:top w:val="single" w:color="0F6B72" w:sz="1"/>
              <w:left w:val="single" w:color="0F6B72" w:sz="1"/>
              <w:bottom w:val="single" w:color="0F6B72" w:sz="1"/>
              <w:right w:val="single" w:color="0F6B72" w:sz="1"/>
            </w:tcBorders>
            <w:shd w:fill="0F6B72" w:val="clear"/>
            <w:tcMar>
              <w:top w:type="dxa" w:w="100"/>
              <w:left w:type="dxa" w:w="140"/>
              <w:bottom w:type="dxa" w:w="100"/>
              <w:right w:type="dxa" w:w="140"/>
            </w:tcMar>
            <w:vAlign w:val="center"/>
          </w:tcPr>
          <w:p>
            <w:r>
              <w:rPr>
                <w:rFonts w:ascii="Arial" w:cs="Arial" w:eastAsia="Arial" w:hAnsi="Arial"/>
                <w:b/>
                <w:bCs/>
                <w:color w:val="FFFFFF"/>
                <w:sz w:val="19"/>
                <w:szCs w:val="19"/>
              </w:rPr>
              <w:t xml:space="preserve">CTA Text</w:t>
            </w:r>
          </w:p>
        </w:tc>
        <w:tc>
          <w:tcPr>
            <w:tcW w:type="dxa" w:w="5640"/>
            <w:tcBorders>
              <w:top w:val="single" w:color="0F6B72" w:sz="1"/>
              <w:left w:val="single" w:color="0F6B72" w:sz="1"/>
              <w:bottom w:val="single" w:color="0F6B72" w:sz="1"/>
              <w:right w:val="single" w:color="0F6B72" w:sz="1"/>
            </w:tcBorders>
            <w:shd w:fill="0F6B72" w:val="clear"/>
            <w:tcMar>
              <w:top w:type="dxa" w:w="100"/>
              <w:left w:type="dxa" w:w="140"/>
              <w:bottom w:type="dxa" w:w="100"/>
              <w:right w:type="dxa" w:w="140"/>
            </w:tcMar>
            <w:vAlign w:val="center"/>
          </w:tcPr>
          <w:p>
            <w:r>
              <w:rPr>
                <w:rFonts w:ascii="Arial" w:cs="Arial" w:eastAsia="Arial" w:hAnsi="Arial"/>
                <w:b/>
                <w:bCs/>
                <w:color w:val="FFFFFF"/>
                <w:sz w:val="19"/>
                <w:szCs w:val="19"/>
              </w:rPr>
              <w:t xml:space="preserve">Context</w:t>
            </w:r>
          </w:p>
        </w:tc>
      </w:tr>
      <w:tr>
        <w:tc>
          <w:tcPr>
            <w:tcW w:type="dxa" w:w="600"/>
            <w:tcBorders>
              <w:top w:val="single" w:color="D0D8D9" w:sz="1"/>
              <w:left w:val="single" w:color="D0D8D9" w:sz="1"/>
              <w:bottom w:val="single" w:color="D0D8D9" w:sz="1"/>
              <w:right w:val="single" w:color="D0D8D9" w:sz="1"/>
            </w:tcBorders>
            <w:shd w:fill="FFFFFF" w:val="clear"/>
            <w:tcMar>
              <w:top w:type="dxa" w:w="80"/>
              <w:left w:type="dxa" w:w="140"/>
              <w:bottom w:type="dxa" w:w="80"/>
              <w:right w:type="dxa" w:w="140"/>
            </w:tcMar>
          </w:tcPr>
          <w:p>
            <w:r>
              <w:rPr>
                <w:rFonts w:ascii="Arial" w:cs="Arial" w:eastAsia="Arial" w:hAnsi="Arial"/>
                <w:b/>
                <w:bCs/>
                <w:color w:val="1A1A1A"/>
                <w:sz w:val="19"/>
                <w:szCs w:val="19"/>
              </w:rPr>
              <w:t xml:space="preserve">A ★</w:t>
            </w:r>
          </w:p>
        </w:tc>
        <w:tc>
          <w:tcPr>
            <w:tcW w:type="dxa" w:w="3600"/>
            <w:tcBorders>
              <w:top w:val="single" w:color="D0D8D9" w:sz="1"/>
              <w:left w:val="single" w:color="D0D8D9" w:sz="1"/>
              <w:bottom w:val="single" w:color="D0D8D9" w:sz="1"/>
              <w:right w:val="single" w:color="D0D8D9" w:sz="1"/>
            </w:tcBorders>
            <w:shd w:fill="FFFFFF" w:val="clear"/>
            <w:tcMar>
              <w:top w:type="dxa" w:w="80"/>
              <w:left w:type="dxa" w:w="140"/>
              <w:bottom w:type="dxa" w:w="80"/>
              <w:right w:type="dxa" w:w="140"/>
            </w:tcMar>
          </w:tcPr>
          <w:p>
            <w:r>
              <w:rPr>
                <w:rFonts w:ascii="Arial" w:cs="Arial" w:eastAsia="Arial" w:hAnsi="Arial"/>
                <w:b w:val="false"/>
                <w:bCs w:val="false"/>
                <w:color w:val="363636"/>
                <w:sz w:val="19"/>
                <w:szCs w:val="19"/>
              </w:rPr>
              <w:t xml:space="preserve">Jetzt zum Sound Days-Preis kaufen</w:t>
            </w:r>
          </w:p>
        </w:tc>
        <w:tc>
          <w:tcPr>
            <w:tcW w:type="dxa" w:w="5640"/>
            <w:tcBorders>
              <w:top w:val="single" w:color="D0D8D9" w:sz="1"/>
              <w:left w:val="single" w:color="D0D8D9" w:sz="1"/>
              <w:bottom w:val="single" w:color="D0D8D9" w:sz="1"/>
              <w:right w:val="single" w:color="D0D8D9" w:sz="1"/>
            </w:tcBorders>
            <w:shd w:fill="FFFFFF" w:val="clear"/>
            <w:tcMar>
              <w:top w:type="dxa" w:w="80"/>
              <w:left w:type="dxa" w:w="140"/>
              <w:bottom w:type="dxa" w:w="80"/>
              <w:right w:type="dxa" w:w="140"/>
            </w:tcMar>
          </w:tcPr>
          <w:p>
            <w:r>
              <w:rPr>
                <w:rFonts w:ascii="Arial" w:cs="Arial" w:eastAsia="Arial" w:hAnsi="Arial"/>
                <w:b w:val="false"/>
                <w:bCs w:val="false"/>
                <w:color w:val="363636"/>
                <w:sz w:val="19"/>
                <w:szCs w:val="19"/>
              </w:rPr>
              <w:t xml:space="preserve">Hero CTA during sale period. Action + campaign name. Replace date when sale ends.</w:t>
            </w:r>
          </w:p>
        </w:tc>
      </w:tr>
      <w:tr>
        <w:tc>
          <w:tcPr>
            <w:tcW w:type="dxa" w:w="600"/>
            <w:tcBorders>
              <w:top w:val="single" w:color="D0D8D9" w:sz="1"/>
              <w:left w:val="single" w:color="D0D8D9" w:sz="1"/>
              <w:bottom w:val="single" w:color="D0D8D9" w:sz="1"/>
              <w:right w:val="single" w:color="D0D8D9" w:sz="1"/>
            </w:tcBorders>
            <w:shd w:fill="F4F8F9" w:val="clear"/>
            <w:tcMar>
              <w:top w:type="dxa" w:w="80"/>
              <w:left w:type="dxa" w:w="140"/>
              <w:bottom w:type="dxa" w:w="80"/>
              <w:right w:type="dxa" w:w="140"/>
            </w:tcMar>
          </w:tcPr>
          <w:p>
            <w:r>
              <w:rPr>
                <w:rFonts w:ascii="Arial" w:cs="Arial" w:eastAsia="Arial" w:hAnsi="Arial"/>
                <w:b w:val="false"/>
                <w:bCs w:val="false"/>
                <w:color w:val="363636"/>
                <w:sz w:val="19"/>
                <w:szCs w:val="19"/>
              </w:rPr>
              <w:t xml:space="preserve">B</w:t>
            </w:r>
          </w:p>
        </w:tc>
        <w:tc>
          <w:tcPr>
            <w:tcW w:type="dxa" w:w="3600"/>
            <w:tcBorders>
              <w:top w:val="single" w:color="D0D8D9" w:sz="1"/>
              <w:left w:val="single" w:color="D0D8D9" w:sz="1"/>
              <w:bottom w:val="single" w:color="D0D8D9" w:sz="1"/>
              <w:right w:val="single" w:color="D0D8D9" w:sz="1"/>
            </w:tcBorders>
            <w:shd w:fill="F4F8F9" w:val="clear"/>
            <w:tcMar>
              <w:top w:type="dxa" w:w="80"/>
              <w:left w:type="dxa" w:w="140"/>
              <w:bottom w:type="dxa" w:w="80"/>
              <w:right w:type="dxa" w:w="140"/>
            </w:tcMar>
          </w:tcPr>
          <w:p>
            <w:r>
              <w:rPr>
                <w:rFonts w:ascii="Arial" w:cs="Arial" w:eastAsia="Arial" w:hAnsi="Arial"/>
                <w:b w:val="false"/>
                <w:bCs w:val="false"/>
                <w:color w:val="363636"/>
                <w:sz w:val="19"/>
                <w:szCs w:val="19"/>
              </w:rPr>
              <w:t xml:space="preserve">CINEBAR jetzt sichern</w:t>
            </w:r>
          </w:p>
        </w:tc>
        <w:tc>
          <w:tcPr>
            <w:tcW w:type="dxa" w:w="5640"/>
            <w:tcBorders>
              <w:top w:val="single" w:color="D0D8D9" w:sz="1"/>
              <w:left w:val="single" w:color="D0D8D9" w:sz="1"/>
              <w:bottom w:val="single" w:color="D0D8D9" w:sz="1"/>
              <w:right w:val="single" w:color="D0D8D9" w:sz="1"/>
            </w:tcBorders>
            <w:shd w:fill="F4F8F9" w:val="clear"/>
            <w:tcMar>
              <w:top w:type="dxa" w:w="80"/>
              <w:left w:type="dxa" w:w="140"/>
              <w:bottom w:type="dxa" w:w="80"/>
              <w:right w:type="dxa" w:w="140"/>
            </w:tcMar>
          </w:tcPr>
          <w:p>
            <w:r>
              <w:rPr>
                <w:rFonts w:ascii="Arial" w:cs="Arial" w:eastAsia="Arial" w:hAnsi="Arial"/>
                <w:b w:val="false"/>
                <w:bCs w:val="false"/>
                <w:color w:val="363636"/>
                <w:sz w:val="19"/>
                <w:szCs w:val="19"/>
              </w:rPr>
              <w:t xml:space="preserve">Product-specific urgency. Use on individual model cards.</w:t>
            </w:r>
          </w:p>
        </w:tc>
      </w:tr>
      <w:tr>
        <w:tc>
          <w:tcPr>
            <w:tcW w:type="dxa" w:w="600"/>
            <w:tcBorders>
              <w:top w:val="single" w:color="D0D8D9" w:sz="1"/>
              <w:left w:val="single" w:color="D0D8D9" w:sz="1"/>
              <w:bottom w:val="single" w:color="D0D8D9" w:sz="1"/>
              <w:right w:val="single" w:color="D0D8D9" w:sz="1"/>
            </w:tcBorders>
            <w:shd w:fill="FFFFFF" w:val="clear"/>
            <w:tcMar>
              <w:top w:type="dxa" w:w="80"/>
              <w:left w:type="dxa" w:w="140"/>
              <w:bottom w:type="dxa" w:w="80"/>
              <w:right w:type="dxa" w:w="140"/>
            </w:tcMar>
          </w:tcPr>
          <w:p>
            <w:r>
              <w:rPr>
                <w:rFonts w:ascii="Arial" w:cs="Arial" w:eastAsia="Arial" w:hAnsi="Arial"/>
                <w:b w:val="false"/>
                <w:bCs w:val="false"/>
                <w:color w:val="363636"/>
                <w:sz w:val="19"/>
                <w:szCs w:val="19"/>
              </w:rPr>
              <w:t xml:space="preserve">C</w:t>
            </w:r>
          </w:p>
        </w:tc>
        <w:tc>
          <w:tcPr>
            <w:tcW w:type="dxa" w:w="3600"/>
            <w:tcBorders>
              <w:top w:val="single" w:color="D0D8D9" w:sz="1"/>
              <w:left w:val="single" w:color="D0D8D9" w:sz="1"/>
              <w:bottom w:val="single" w:color="D0D8D9" w:sz="1"/>
              <w:right w:val="single" w:color="D0D8D9" w:sz="1"/>
            </w:tcBorders>
            <w:shd w:fill="FFFFFF" w:val="clear"/>
            <w:tcMar>
              <w:top w:type="dxa" w:w="80"/>
              <w:left w:type="dxa" w:w="140"/>
              <w:bottom w:type="dxa" w:w="80"/>
              <w:right w:type="dxa" w:w="140"/>
            </w:tcMar>
          </w:tcPr>
          <w:p>
            <w:r>
              <w:rPr>
                <w:rFonts w:ascii="Arial" w:cs="Arial" w:eastAsia="Arial" w:hAnsi="Arial"/>
                <w:b w:val="false"/>
                <w:bCs w:val="false"/>
                <w:color w:val="363636"/>
                <w:sz w:val="19"/>
                <w:szCs w:val="19"/>
              </w:rPr>
              <w:t xml:space="preserve">Soundbar entdecken</w:t>
            </w:r>
          </w:p>
        </w:tc>
        <w:tc>
          <w:tcPr>
            <w:tcW w:type="dxa" w:w="5640"/>
            <w:tcBorders>
              <w:top w:val="single" w:color="D0D8D9" w:sz="1"/>
              <w:left w:val="single" w:color="D0D8D9" w:sz="1"/>
              <w:bottom w:val="single" w:color="D0D8D9" w:sz="1"/>
              <w:right w:val="single" w:color="D0D8D9" w:sz="1"/>
            </w:tcBorders>
            <w:shd w:fill="FFFFFF" w:val="clear"/>
            <w:tcMar>
              <w:top w:type="dxa" w:w="80"/>
              <w:left w:type="dxa" w:w="140"/>
              <w:bottom w:type="dxa" w:w="80"/>
              <w:right w:type="dxa" w:w="140"/>
            </w:tcMar>
          </w:tcPr>
          <w:p>
            <w:r>
              <w:rPr>
                <w:rFonts w:ascii="Arial" w:cs="Arial" w:eastAsia="Arial" w:hAnsi="Arial"/>
                <w:b w:val="false"/>
                <w:bCs w:val="false"/>
                <w:color w:val="363636"/>
                <w:sz w:val="19"/>
                <w:szCs w:val="19"/>
              </w:rPr>
              <w:t xml:space="preserve">Discovery CTA for undecided shoppers. Secondary button in hero.</w:t>
            </w:r>
          </w:p>
        </w:tc>
      </w:tr>
      <w:tr>
        <w:tc>
          <w:tcPr>
            <w:tcW w:type="dxa" w:w="600"/>
            <w:tcBorders>
              <w:top w:val="single" w:color="D0D8D9" w:sz="1"/>
              <w:left w:val="single" w:color="D0D8D9" w:sz="1"/>
              <w:bottom w:val="single" w:color="D0D8D9" w:sz="1"/>
              <w:right w:val="single" w:color="D0D8D9" w:sz="1"/>
            </w:tcBorders>
            <w:shd w:fill="F4F8F9" w:val="clear"/>
            <w:tcMar>
              <w:top w:type="dxa" w:w="80"/>
              <w:left w:type="dxa" w:w="140"/>
              <w:bottom w:type="dxa" w:w="80"/>
              <w:right w:type="dxa" w:w="140"/>
            </w:tcMar>
          </w:tcPr>
          <w:p>
            <w:r>
              <w:rPr>
                <w:rFonts w:ascii="Arial" w:cs="Arial" w:eastAsia="Arial" w:hAnsi="Arial"/>
                <w:b w:val="false"/>
                <w:bCs w:val="false"/>
                <w:color w:val="363636"/>
                <w:sz w:val="19"/>
                <w:szCs w:val="19"/>
              </w:rPr>
              <w:t xml:space="preserve">D</w:t>
            </w:r>
          </w:p>
        </w:tc>
        <w:tc>
          <w:tcPr>
            <w:tcW w:type="dxa" w:w="3600"/>
            <w:tcBorders>
              <w:top w:val="single" w:color="D0D8D9" w:sz="1"/>
              <w:left w:val="single" w:color="D0D8D9" w:sz="1"/>
              <w:bottom w:val="single" w:color="D0D8D9" w:sz="1"/>
              <w:right w:val="single" w:color="D0D8D9" w:sz="1"/>
            </w:tcBorders>
            <w:shd w:fill="F4F8F9" w:val="clear"/>
            <w:tcMar>
              <w:top w:type="dxa" w:w="80"/>
              <w:left w:type="dxa" w:w="140"/>
              <w:bottom w:type="dxa" w:w="80"/>
              <w:right w:type="dxa" w:w="140"/>
            </w:tcMar>
          </w:tcPr>
          <w:p>
            <w:r>
              <w:rPr>
                <w:rFonts w:ascii="Arial" w:cs="Arial" w:eastAsia="Arial" w:hAnsi="Arial"/>
                <w:b w:val="false"/>
                <w:bCs w:val="false"/>
                <w:color w:val="363636"/>
                <w:sz w:val="19"/>
                <w:szCs w:val="19"/>
              </w:rPr>
              <w:t xml:space="preserve">Preis vergleichen</w:t>
            </w:r>
          </w:p>
        </w:tc>
        <w:tc>
          <w:tcPr>
            <w:tcW w:type="dxa" w:w="5640"/>
            <w:tcBorders>
              <w:top w:val="single" w:color="D0D8D9" w:sz="1"/>
              <w:left w:val="single" w:color="D0D8D9" w:sz="1"/>
              <w:bottom w:val="single" w:color="D0D8D9" w:sz="1"/>
              <w:right w:val="single" w:color="D0D8D9" w:sz="1"/>
            </w:tcBorders>
            <w:shd w:fill="F4F8F9" w:val="clear"/>
            <w:tcMar>
              <w:top w:type="dxa" w:w="80"/>
              <w:left w:type="dxa" w:w="140"/>
              <w:bottom w:type="dxa" w:w="80"/>
              <w:right w:type="dxa" w:w="140"/>
            </w:tcMar>
          </w:tcPr>
          <w:p>
            <w:r>
              <w:rPr>
                <w:rFonts w:ascii="Arial" w:cs="Arial" w:eastAsia="Arial" w:hAnsi="Arial"/>
                <w:b w:val="false"/>
                <w:bCs w:val="false"/>
                <w:color w:val="363636"/>
                <w:sz w:val="19"/>
                <w:szCs w:val="19"/>
              </w:rPr>
              <w:t xml:space="preserve">Use in the competitor comparison section as the section CTA.</w:t>
            </w:r>
          </w:p>
        </w:tc>
      </w:tr>
    </w:tbl>
    <w:p>
      <w:pPr>
        <w:spacing w:after="320"/>
      </w:pPr>
    </w:p>
    <w:p>
      <w:r>
        <w:br w:type="page"/>
      </w:r>
    </w:p>
    <w:p>
      <w:pPr>
        <w:pStyle w:val="Heading1"/>
        <w:spacing w:before="600" w:after="200"/>
      </w:pPr>
      <w:r>
        <w:rPr>
          <w:rFonts w:ascii="Arial Black" w:cs="Arial Black" w:eastAsia="Arial Black" w:hAnsi="Arial Black"/>
          <w:b/>
          <w:bCs/>
          <w:color w:val="0A4A4E"/>
          <w:sz w:val="36"/>
          <w:szCs w:val="36"/>
        </w:rPr>
        <w:t xml:space="preserve">5 — Must-Haves vs. Nice-to-Haves</w:t>
      </w:r>
    </w:p>
    <w:p>
      <w:pPr>
        <w:spacing w:before="60" w:after="120" w:line="276"/>
      </w:pPr>
      <w:r>
        <w:rPr>
          <w:rFonts w:ascii="Arial" w:cs="Arial" w:eastAsia="Arial" w:hAnsi="Arial"/>
          <w:color w:val="363636"/>
          <w:sz w:val="22"/>
          <w:szCs w:val="22"/>
        </w:rPr>
        <w:t xml:space="preserve">Prioritised for a small team with limited time. Must-haves are conversion-critical — the page will leave measurable sales on the table without them. Nice-to-haves improve performance but are not launch blockers.</w:t>
      </w:r>
    </w:p>
    <w:p>
      <w:pPr>
        <w:spacing w:after="120"/>
      </w:pPr>
    </w:p>
    <w:p>
      <w:pPr>
        <w:pStyle w:val="Heading2"/>
        <w:spacing w:before="320" w:after="140"/>
      </w:pPr>
      <w:r>
        <w:rPr>
          <w:rFonts w:ascii="Arial Black" w:cs="Arial Black" w:eastAsia="Arial Black" w:hAnsi="Arial Black"/>
          <w:b/>
          <w:bCs/>
          <w:color w:val="1A1A1A"/>
          <w:sz w:val="28"/>
          <w:szCs w:val="28"/>
        </w:rPr>
        <w:t xml:space="preserve">5.1 Must-Haves (Ship without these = lost conversion)</w:t>
      </w:r>
    </w:p>
    <w:tbl>
      <w:tblPr>
        <w:tblW w:type="dxa" w:w="9840"/>
        <w:tblBorders>
          <w:top w:val="single" w:color="auto" w:sz="4"/>
          <w:left w:val="single" w:color="auto" w:sz="4"/>
          <w:bottom w:val="single" w:color="auto" w:sz="4"/>
          <w:right w:val="single" w:color="auto" w:sz="4"/>
          <w:insideH w:val="single" w:color="auto" w:sz="4"/>
          <w:insideV w:val="single" w:color="auto" w:sz="4"/>
        </w:tblBorders>
      </w:tblPr>
      <w:tblGrid>
        <w:gridCol w:w="300"/>
        <w:gridCol w:w="3600"/>
        <w:gridCol w:w="2040"/>
        <w:gridCol w:w="3900"/>
      </w:tblGrid>
      <w:tr>
        <w:trPr>
          <w:tblHeader/>
        </w:trPr>
        <w:tc>
          <w:tcPr>
            <w:tcW w:type="dxa" w:w="300"/>
            <w:tcBorders>
              <w:top w:val="single" w:color="0F6B72" w:sz="1"/>
              <w:left w:val="single" w:color="0F6B72" w:sz="1"/>
              <w:bottom w:val="single" w:color="0F6B72" w:sz="1"/>
              <w:right w:val="single" w:color="0F6B72" w:sz="1"/>
            </w:tcBorders>
            <w:shd w:fill="0F6B72" w:val="clear"/>
            <w:tcMar>
              <w:top w:type="dxa" w:w="100"/>
              <w:left w:type="dxa" w:w="140"/>
              <w:bottom w:type="dxa" w:w="100"/>
              <w:right w:type="dxa" w:w="140"/>
            </w:tcMar>
            <w:vAlign w:val="center"/>
          </w:tcPr>
          <w:p>
            <w:r>
              <w:rPr>
                <w:rFonts w:ascii="Arial" w:cs="Arial" w:eastAsia="Arial" w:hAnsi="Arial"/>
                <w:b/>
                <w:bCs/>
                <w:color w:val="FFFFFF"/>
                <w:sz w:val="19"/>
                <w:szCs w:val="19"/>
              </w:rPr>
              <w:t xml:space="preserve">#</w:t>
            </w:r>
          </w:p>
        </w:tc>
        <w:tc>
          <w:tcPr>
            <w:tcW w:type="dxa" w:w="3600"/>
            <w:tcBorders>
              <w:top w:val="single" w:color="0F6B72" w:sz="1"/>
              <w:left w:val="single" w:color="0F6B72" w:sz="1"/>
              <w:bottom w:val="single" w:color="0F6B72" w:sz="1"/>
              <w:right w:val="single" w:color="0F6B72" w:sz="1"/>
            </w:tcBorders>
            <w:shd w:fill="0F6B72" w:val="clear"/>
            <w:tcMar>
              <w:top w:type="dxa" w:w="100"/>
              <w:left w:type="dxa" w:w="140"/>
              <w:bottom w:type="dxa" w:w="100"/>
              <w:right w:type="dxa" w:w="140"/>
            </w:tcMar>
            <w:vAlign w:val="center"/>
          </w:tcPr>
          <w:p>
            <w:r>
              <w:rPr>
                <w:rFonts w:ascii="Arial" w:cs="Arial" w:eastAsia="Arial" w:hAnsi="Arial"/>
                <w:b/>
                <w:bCs/>
                <w:color w:val="FFFFFF"/>
                <w:sz w:val="19"/>
                <w:szCs w:val="19"/>
              </w:rPr>
              <w:t xml:space="preserve">Element</w:t>
            </w:r>
          </w:p>
        </w:tc>
        <w:tc>
          <w:tcPr>
            <w:tcW w:type="dxa" w:w="2040"/>
            <w:tcBorders>
              <w:top w:val="single" w:color="0F6B72" w:sz="1"/>
              <w:left w:val="single" w:color="0F6B72" w:sz="1"/>
              <w:bottom w:val="single" w:color="0F6B72" w:sz="1"/>
              <w:right w:val="single" w:color="0F6B72" w:sz="1"/>
            </w:tcBorders>
            <w:shd w:fill="0F6B72" w:val="clear"/>
            <w:tcMar>
              <w:top w:type="dxa" w:w="100"/>
              <w:left w:type="dxa" w:w="140"/>
              <w:bottom w:type="dxa" w:w="100"/>
              <w:right w:type="dxa" w:w="140"/>
            </w:tcMar>
            <w:vAlign w:val="center"/>
          </w:tcPr>
          <w:p>
            <w:r>
              <w:rPr>
                <w:rFonts w:ascii="Arial" w:cs="Arial" w:eastAsia="Arial" w:hAnsi="Arial"/>
                <w:b/>
                <w:bCs/>
                <w:color w:val="FFFFFF"/>
                <w:sz w:val="19"/>
                <w:szCs w:val="19"/>
              </w:rPr>
              <w:t xml:space="preserve">Effort</w:t>
            </w:r>
          </w:p>
        </w:tc>
        <w:tc>
          <w:tcPr>
            <w:tcW w:type="dxa" w:w="3900"/>
            <w:tcBorders>
              <w:top w:val="single" w:color="0F6B72" w:sz="1"/>
              <w:left w:val="single" w:color="0F6B72" w:sz="1"/>
              <w:bottom w:val="single" w:color="0F6B72" w:sz="1"/>
              <w:right w:val="single" w:color="0F6B72" w:sz="1"/>
            </w:tcBorders>
            <w:shd w:fill="0F6B72" w:val="clear"/>
            <w:tcMar>
              <w:top w:type="dxa" w:w="100"/>
              <w:left w:type="dxa" w:w="140"/>
              <w:bottom w:type="dxa" w:w="100"/>
              <w:right w:type="dxa" w:w="140"/>
            </w:tcMar>
            <w:vAlign w:val="center"/>
          </w:tcPr>
          <w:p>
            <w:r>
              <w:rPr>
                <w:rFonts w:ascii="Arial" w:cs="Arial" w:eastAsia="Arial" w:hAnsi="Arial"/>
                <w:b/>
                <w:bCs/>
                <w:color w:val="FFFFFF"/>
                <w:sz w:val="19"/>
                <w:szCs w:val="19"/>
              </w:rPr>
              <w:t xml:space="preserve">Why it's critical</w:t>
            </w:r>
          </w:p>
        </w:tc>
      </w:tr>
      <w:tr>
        <w:tc>
          <w:tcPr>
            <w:tcW w:type="dxa" w:w="300"/>
            <w:tcBorders>
              <w:top w:val="single" w:color="D0D8D9" w:sz="1"/>
              <w:left w:val="single" w:color="D0D8D9" w:sz="1"/>
              <w:bottom w:val="single" w:color="D0D8D9" w:sz="1"/>
              <w:right w:val="single" w:color="D0D8D9" w:sz="1"/>
            </w:tcBorders>
            <w:shd w:fill="FFFFFF" w:val="clear"/>
            <w:tcMar>
              <w:top w:type="dxa" w:w="80"/>
              <w:left w:type="dxa" w:w="140"/>
              <w:bottom w:type="dxa" w:w="80"/>
              <w:right w:type="dxa" w:w="140"/>
            </w:tcMar>
          </w:tcPr>
          <w:p>
            <w:r>
              <w:rPr>
                <w:rFonts w:ascii="Arial" w:cs="Arial" w:eastAsia="Arial" w:hAnsi="Arial"/>
                <w:b/>
                <w:bCs/>
                <w:color w:val="1A1A1A"/>
                <w:sz w:val="19"/>
                <w:szCs w:val="19"/>
              </w:rPr>
              <w:t xml:space="preserve">1</w:t>
            </w:r>
          </w:p>
        </w:tc>
        <w:tc>
          <w:tcPr>
            <w:tcW w:type="dxa" w:w="3600"/>
            <w:tcBorders>
              <w:top w:val="single" w:color="D0D8D9" w:sz="1"/>
              <w:left w:val="single" w:color="D0D8D9" w:sz="1"/>
              <w:bottom w:val="single" w:color="D0D8D9" w:sz="1"/>
              <w:right w:val="single" w:color="D0D8D9" w:sz="1"/>
            </w:tcBorders>
            <w:shd w:fill="FFFFFF" w:val="clear"/>
            <w:tcMar>
              <w:top w:type="dxa" w:w="80"/>
              <w:left w:type="dxa" w:w="140"/>
              <w:bottom w:type="dxa" w:w="80"/>
              <w:right w:type="dxa" w:w="140"/>
            </w:tcMar>
          </w:tcPr>
          <w:p>
            <w:r>
              <w:rPr>
                <w:rFonts w:ascii="Arial" w:cs="Arial" w:eastAsia="Arial" w:hAnsi="Arial"/>
                <w:b w:val="false"/>
                <w:bCs w:val="false"/>
                <w:color w:val="363636"/>
                <w:sz w:val="19"/>
                <w:szCs w:val="19"/>
              </w:rPr>
              <w:t xml:space="preserve">Sticky CTA button (activates after hero scrolls off screen)</w:t>
            </w:r>
          </w:p>
        </w:tc>
        <w:tc>
          <w:tcPr>
            <w:tcW w:type="dxa" w:w="2040"/>
            <w:tcBorders>
              <w:top w:val="single" w:color="D0D8D9" w:sz="1"/>
              <w:left w:val="single" w:color="D0D8D9" w:sz="1"/>
              <w:bottom w:val="single" w:color="D0D8D9" w:sz="1"/>
              <w:right w:val="single" w:color="D0D8D9" w:sz="1"/>
            </w:tcBorders>
            <w:shd w:fill="FFFFFF" w:val="clear"/>
            <w:tcMar>
              <w:top w:type="dxa" w:w="80"/>
              <w:left w:type="dxa" w:w="140"/>
              <w:bottom w:type="dxa" w:w="80"/>
              <w:right w:type="dxa" w:w="140"/>
            </w:tcMar>
          </w:tcPr>
          <w:p>
            <w:r>
              <w:rPr>
                <w:rFonts w:ascii="Arial" w:cs="Arial" w:eastAsia="Arial" w:hAnsi="Arial"/>
                <w:b w:val="false"/>
                <w:bCs w:val="false"/>
                <w:color w:val="363636"/>
                <w:sz w:val="19"/>
                <w:szCs w:val="19"/>
              </w:rPr>
              <w:t xml:space="preserve">Low (CSS)</w:t>
            </w:r>
          </w:p>
        </w:tc>
        <w:tc>
          <w:tcPr>
            <w:tcW w:type="dxa" w:w="3900"/>
            <w:tcBorders>
              <w:top w:val="single" w:color="D0D8D9" w:sz="1"/>
              <w:left w:val="single" w:color="D0D8D9" w:sz="1"/>
              <w:bottom w:val="single" w:color="D0D8D9" w:sz="1"/>
              <w:right w:val="single" w:color="D0D8D9" w:sz="1"/>
            </w:tcBorders>
            <w:shd w:fill="FFFFFF" w:val="clear"/>
            <w:tcMar>
              <w:top w:type="dxa" w:w="80"/>
              <w:left w:type="dxa" w:w="140"/>
              <w:bottom w:type="dxa" w:w="80"/>
              <w:right w:type="dxa" w:w="140"/>
            </w:tcMar>
          </w:tcPr>
          <w:p>
            <w:r>
              <w:rPr>
                <w:rFonts w:ascii="Arial" w:cs="Arial" w:eastAsia="Arial" w:hAnsi="Arial"/>
                <w:b w:val="false"/>
                <w:bCs w:val="false"/>
                <w:color w:val="363636"/>
                <w:sz w:val="19"/>
                <w:szCs w:val="19"/>
              </w:rPr>
              <w:t xml:space="preserve">Competitors have it; Teufel's current sale page doesn't. Loses the buyer who scrolled but hesitated.</w:t>
            </w:r>
          </w:p>
        </w:tc>
      </w:tr>
      <w:tr>
        <w:tc>
          <w:tcPr>
            <w:tcW w:type="dxa" w:w="300"/>
            <w:tcBorders>
              <w:top w:val="single" w:color="D0D8D9" w:sz="1"/>
              <w:left w:val="single" w:color="D0D8D9" w:sz="1"/>
              <w:bottom w:val="single" w:color="D0D8D9" w:sz="1"/>
              <w:right w:val="single" w:color="D0D8D9" w:sz="1"/>
            </w:tcBorders>
            <w:shd w:fill="F4F8F9" w:val="clear"/>
            <w:tcMar>
              <w:top w:type="dxa" w:w="80"/>
              <w:left w:type="dxa" w:w="140"/>
              <w:bottom w:type="dxa" w:w="80"/>
              <w:right w:type="dxa" w:w="140"/>
            </w:tcMar>
          </w:tcPr>
          <w:p>
            <w:r>
              <w:rPr>
                <w:rFonts w:ascii="Arial" w:cs="Arial" w:eastAsia="Arial" w:hAnsi="Arial"/>
                <w:b w:val="false"/>
                <w:bCs w:val="false"/>
                <w:color w:val="363636"/>
                <w:sz w:val="19"/>
                <w:szCs w:val="19"/>
              </w:rPr>
              <w:t xml:space="preserve">2</w:t>
            </w:r>
          </w:p>
        </w:tc>
        <w:tc>
          <w:tcPr>
            <w:tcW w:type="dxa" w:w="3600"/>
            <w:tcBorders>
              <w:top w:val="single" w:color="D0D8D9" w:sz="1"/>
              <w:left w:val="single" w:color="D0D8D9" w:sz="1"/>
              <w:bottom w:val="single" w:color="D0D8D9" w:sz="1"/>
              <w:right w:val="single" w:color="D0D8D9" w:sz="1"/>
            </w:tcBorders>
            <w:shd w:fill="F4F8F9" w:val="clear"/>
            <w:tcMar>
              <w:top w:type="dxa" w:w="80"/>
              <w:left w:type="dxa" w:w="140"/>
              <w:bottom w:type="dxa" w:w="80"/>
              <w:right w:type="dxa" w:w="140"/>
            </w:tcMar>
          </w:tcPr>
          <w:p>
            <w:r>
              <w:rPr>
                <w:rFonts w:ascii="Arial" w:cs="Arial" w:eastAsia="Arial" w:hAnsi="Arial"/>
                <w:b w:val="false"/>
                <w:bCs w:val="false"/>
                <w:color w:val="363636"/>
                <w:sz w:val="19"/>
                <w:szCs w:val="19"/>
              </w:rPr>
              <w:t xml:space="preserve">Price anchor in hero: original price → sale price (not just current)</w:t>
            </w:r>
          </w:p>
        </w:tc>
        <w:tc>
          <w:tcPr>
            <w:tcW w:type="dxa" w:w="2040"/>
            <w:tcBorders>
              <w:top w:val="single" w:color="D0D8D9" w:sz="1"/>
              <w:left w:val="single" w:color="D0D8D9" w:sz="1"/>
              <w:bottom w:val="single" w:color="D0D8D9" w:sz="1"/>
              <w:right w:val="single" w:color="D0D8D9" w:sz="1"/>
            </w:tcBorders>
            <w:shd w:fill="F4F8F9" w:val="clear"/>
            <w:tcMar>
              <w:top w:type="dxa" w:w="80"/>
              <w:left w:type="dxa" w:w="140"/>
              <w:bottom w:type="dxa" w:w="80"/>
              <w:right w:type="dxa" w:w="140"/>
            </w:tcMar>
          </w:tcPr>
          <w:p>
            <w:r>
              <w:rPr>
                <w:rFonts w:ascii="Arial" w:cs="Arial" w:eastAsia="Arial" w:hAnsi="Arial"/>
                <w:b w:val="false"/>
                <w:bCs w:val="false"/>
                <w:color w:val="363636"/>
                <w:sz w:val="19"/>
                <w:szCs w:val="19"/>
              </w:rPr>
              <w:t xml:space="preserve">Low (copy)</w:t>
            </w:r>
          </w:p>
        </w:tc>
        <w:tc>
          <w:tcPr>
            <w:tcW w:type="dxa" w:w="3900"/>
            <w:tcBorders>
              <w:top w:val="single" w:color="D0D8D9" w:sz="1"/>
              <w:left w:val="single" w:color="D0D8D9" w:sz="1"/>
              <w:bottom w:val="single" w:color="D0D8D9" w:sz="1"/>
              <w:right w:val="single" w:color="D0D8D9" w:sz="1"/>
            </w:tcBorders>
            <w:shd w:fill="F4F8F9" w:val="clear"/>
            <w:tcMar>
              <w:top w:type="dxa" w:w="80"/>
              <w:left w:type="dxa" w:w="140"/>
              <w:bottom w:type="dxa" w:w="80"/>
              <w:right w:type="dxa" w:w="140"/>
            </w:tcMar>
          </w:tcPr>
          <w:p>
            <w:r>
              <w:rPr>
                <w:rFonts w:ascii="Arial" w:cs="Arial" w:eastAsia="Arial" w:hAnsi="Arial"/>
                <w:b w:val="false"/>
                <w:bCs w:val="false"/>
                <w:color w:val="363636"/>
                <w:sz w:val="19"/>
                <w:szCs w:val="19"/>
              </w:rPr>
              <w:t xml:space="preserve">51% of DACH buyers cite price as primary factor. Without anchor, the sale looks like the regular price.</w:t>
            </w:r>
          </w:p>
        </w:tc>
      </w:tr>
      <w:tr>
        <w:tc>
          <w:tcPr>
            <w:tcW w:type="dxa" w:w="300"/>
            <w:tcBorders>
              <w:top w:val="single" w:color="D0D8D9" w:sz="1"/>
              <w:left w:val="single" w:color="D0D8D9" w:sz="1"/>
              <w:bottom w:val="single" w:color="D0D8D9" w:sz="1"/>
              <w:right w:val="single" w:color="D0D8D9" w:sz="1"/>
            </w:tcBorders>
            <w:shd w:fill="FFFFFF" w:val="clear"/>
            <w:tcMar>
              <w:top w:type="dxa" w:w="80"/>
              <w:left w:type="dxa" w:w="140"/>
              <w:bottom w:type="dxa" w:w="80"/>
              <w:right w:type="dxa" w:w="140"/>
            </w:tcMar>
          </w:tcPr>
          <w:p>
            <w:r>
              <w:rPr>
                <w:rFonts w:ascii="Arial" w:cs="Arial" w:eastAsia="Arial" w:hAnsi="Arial"/>
                <w:b/>
                <w:bCs/>
                <w:color w:val="1A1A1A"/>
                <w:sz w:val="19"/>
                <w:szCs w:val="19"/>
              </w:rPr>
              <w:t xml:space="preserve">3</w:t>
            </w:r>
          </w:p>
        </w:tc>
        <w:tc>
          <w:tcPr>
            <w:tcW w:type="dxa" w:w="3600"/>
            <w:tcBorders>
              <w:top w:val="single" w:color="D0D8D9" w:sz="1"/>
              <w:left w:val="single" w:color="D0D8D9" w:sz="1"/>
              <w:bottom w:val="single" w:color="D0D8D9" w:sz="1"/>
              <w:right w:val="single" w:color="D0D8D9" w:sz="1"/>
            </w:tcBorders>
            <w:shd w:fill="FFFFFF" w:val="clear"/>
            <w:tcMar>
              <w:top w:type="dxa" w:w="80"/>
              <w:left w:type="dxa" w:w="140"/>
              <w:bottom w:type="dxa" w:w="80"/>
              <w:right w:type="dxa" w:w="140"/>
            </w:tcMar>
          </w:tcPr>
          <w:p>
            <w:r>
              <w:rPr>
                <w:rFonts w:ascii="Arial" w:cs="Arial" w:eastAsia="Arial" w:hAnsi="Arial"/>
                <w:b w:val="false"/>
                <w:bCs w:val="false"/>
                <w:color w:val="363636"/>
                <w:sz w:val="19"/>
                <w:szCs w:val="19"/>
              </w:rPr>
              <w:t xml:space="preserve">Trust bar: 5 elements — Trustpilot, Stiftung Warentest, return policy, free shipping, payment methods</w:t>
            </w:r>
          </w:p>
        </w:tc>
        <w:tc>
          <w:tcPr>
            <w:tcW w:type="dxa" w:w="2040"/>
            <w:tcBorders>
              <w:top w:val="single" w:color="D0D8D9" w:sz="1"/>
              <w:left w:val="single" w:color="D0D8D9" w:sz="1"/>
              <w:bottom w:val="single" w:color="D0D8D9" w:sz="1"/>
              <w:right w:val="single" w:color="D0D8D9" w:sz="1"/>
            </w:tcBorders>
            <w:shd w:fill="FFFFFF" w:val="clear"/>
            <w:tcMar>
              <w:top w:type="dxa" w:w="80"/>
              <w:left w:type="dxa" w:w="140"/>
              <w:bottom w:type="dxa" w:w="80"/>
              <w:right w:type="dxa" w:w="140"/>
            </w:tcMar>
          </w:tcPr>
          <w:p>
            <w:r>
              <w:rPr>
                <w:rFonts w:ascii="Arial" w:cs="Arial" w:eastAsia="Arial" w:hAnsi="Arial"/>
                <w:b w:val="false"/>
                <w:bCs w:val="false"/>
                <w:color w:val="363636"/>
                <w:sz w:val="19"/>
                <w:szCs w:val="19"/>
              </w:rPr>
              <w:t xml:space="preserve">Low–Medium</w:t>
            </w:r>
          </w:p>
        </w:tc>
        <w:tc>
          <w:tcPr>
            <w:tcW w:type="dxa" w:w="3900"/>
            <w:tcBorders>
              <w:top w:val="single" w:color="D0D8D9" w:sz="1"/>
              <w:left w:val="single" w:color="D0D8D9" w:sz="1"/>
              <w:bottom w:val="single" w:color="D0D8D9" w:sz="1"/>
              <w:right w:val="single" w:color="D0D8D9" w:sz="1"/>
            </w:tcBorders>
            <w:shd w:fill="FFFFFF" w:val="clear"/>
            <w:tcMar>
              <w:top w:type="dxa" w:w="80"/>
              <w:left w:type="dxa" w:w="140"/>
              <w:bottom w:type="dxa" w:w="80"/>
              <w:right w:type="dxa" w:w="140"/>
            </w:tcMar>
          </w:tcPr>
          <w:p>
            <w:r>
              <w:rPr>
                <w:rFonts w:ascii="Arial" w:cs="Arial" w:eastAsia="Arial" w:hAnsi="Arial"/>
                <w:b w:val="false"/>
                <w:bCs w:val="false"/>
                <w:color w:val="363636"/>
                <w:sz w:val="19"/>
                <w:szCs w:val="19"/>
              </w:rPr>
              <w:t xml:space="preserve">Removes the 5 most common objections in a single 8-second scan. Bose uses this; it converts.</w:t>
            </w:r>
          </w:p>
        </w:tc>
      </w:tr>
      <w:tr>
        <w:tc>
          <w:tcPr>
            <w:tcW w:type="dxa" w:w="300"/>
            <w:tcBorders>
              <w:top w:val="single" w:color="D0D8D9" w:sz="1"/>
              <w:left w:val="single" w:color="D0D8D9" w:sz="1"/>
              <w:bottom w:val="single" w:color="D0D8D9" w:sz="1"/>
              <w:right w:val="single" w:color="D0D8D9" w:sz="1"/>
            </w:tcBorders>
            <w:shd w:fill="F4F8F9" w:val="clear"/>
            <w:tcMar>
              <w:top w:type="dxa" w:w="80"/>
              <w:left w:type="dxa" w:w="140"/>
              <w:bottom w:type="dxa" w:w="80"/>
              <w:right w:type="dxa" w:w="140"/>
            </w:tcMar>
          </w:tcPr>
          <w:p>
            <w:r>
              <w:rPr>
                <w:rFonts w:ascii="Arial" w:cs="Arial" w:eastAsia="Arial" w:hAnsi="Arial"/>
                <w:b/>
                <w:bCs/>
                <w:color w:val="1A1A1A"/>
                <w:sz w:val="19"/>
                <w:szCs w:val="19"/>
              </w:rPr>
              <w:t xml:space="preserve">4</w:t>
            </w:r>
          </w:p>
        </w:tc>
        <w:tc>
          <w:tcPr>
            <w:tcW w:type="dxa" w:w="3600"/>
            <w:tcBorders>
              <w:top w:val="single" w:color="D0D8D9" w:sz="1"/>
              <w:left w:val="single" w:color="D0D8D9" w:sz="1"/>
              <w:bottom w:val="single" w:color="D0D8D9" w:sz="1"/>
              <w:right w:val="single" w:color="D0D8D9" w:sz="1"/>
            </w:tcBorders>
            <w:shd w:fill="F4F8F9" w:val="clear"/>
            <w:tcMar>
              <w:top w:type="dxa" w:w="80"/>
              <w:left w:type="dxa" w:w="140"/>
              <w:bottom w:type="dxa" w:w="80"/>
              <w:right w:type="dxa" w:w="140"/>
            </w:tcMar>
          </w:tcPr>
          <w:p>
            <w:r>
              <w:rPr>
                <w:rFonts w:ascii="Arial" w:cs="Arial" w:eastAsia="Arial" w:hAnsi="Arial"/>
                <w:b w:val="false"/>
                <w:bCs w:val="false"/>
                <w:color w:val="363636"/>
                <w:sz w:val="19"/>
                <w:szCs w:val="19"/>
              </w:rPr>
              <w:t xml:space="preserve">Stiftung Warentest award badge in hero section (not in footer or PDP)</w:t>
            </w:r>
          </w:p>
        </w:tc>
        <w:tc>
          <w:tcPr>
            <w:tcW w:type="dxa" w:w="2040"/>
            <w:tcBorders>
              <w:top w:val="single" w:color="D0D8D9" w:sz="1"/>
              <w:left w:val="single" w:color="D0D8D9" w:sz="1"/>
              <w:bottom w:val="single" w:color="D0D8D9" w:sz="1"/>
              <w:right w:val="single" w:color="D0D8D9" w:sz="1"/>
            </w:tcBorders>
            <w:shd w:fill="F4F8F9" w:val="clear"/>
            <w:tcMar>
              <w:top w:type="dxa" w:w="80"/>
              <w:left w:type="dxa" w:w="140"/>
              <w:bottom w:type="dxa" w:w="80"/>
              <w:right w:type="dxa" w:w="140"/>
            </w:tcMar>
          </w:tcPr>
          <w:p>
            <w:r>
              <w:rPr>
                <w:rFonts w:ascii="Arial" w:cs="Arial" w:eastAsia="Arial" w:hAnsi="Arial"/>
                <w:b w:val="false"/>
                <w:bCs w:val="false"/>
                <w:color w:val="363636"/>
                <w:sz w:val="19"/>
                <w:szCs w:val="19"/>
              </w:rPr>
              <w:t xml:space="preserve">Low (asset)</w:t>
            </w:r>
          </w:p>
        </w:tc>
        <w:tc>
          <w:tcPr>
            <w:tcW w:type="dxa" w:w="3900"/>
            <w:tcBorders>
              <w:top w:val="single" w:color="D0D8D9" w:sz="1"/>
              <w:left w:val="single" w:color="D0D8D9" w:sz="1"/>
              <w:bottom w:val="single" w:color="D0D8D9" w:sz="1"/>
              <w:right w:val="single" w:color="D0D8D9" w:sz="1"/>
            </w:tcBorders>
            <w:shd w:fill="F4F8F9" w:val="clear"/>
            <w:tcMar>
              <w:top w:type="dxa" w:w="80"/>
              <w:left w:type="dxa" w:w="140"/>
              <w:bottom w:type="dxa" w:w="80"/>
              <w:right w:type="dxa" w:w="140"/>
            </w:tcMar>
          </w:tcPr>
          <w:p>
            <w:r>
              <w:rPr>
                <w:rFonts w:ascii="Arial" w:cs="Arial" w:eastAsia="Arial" w:hAnsi="Arial"/>
                <w:b w:val="false"/>
                <w:bCs w:val="false"/>
                <w:color w:val="363636"/>
                <w:sz w:val="19"/>
                <w:szCs w:val="19"/>
              </w:rPr>
              <w:t xml:space="preserve">The single most trusted consumer signal in DACH electronics. Samsung shows it; Teufel should too.</w:t>
            </w:r>
          </w:p>
        </w:tc>
      </w:tr>
      <w:tr>
        <w:tc>
          <w:tcPr>
            <w:tcW w:type="dxa" w:w="300"/>
            <w:tcBorders>
              <w:top w:val="single" w:color="D0D8D9" w:sz="1"/>
              <w:left w:val="single" w:color="D0D8D9" w:sz="1"/>
              <w:bottom w:val="single" w:color="D0D8D9" w:sz="1"/>
              <w:right w:val="single" w:color="D0D8D9" w:sz="1"/>
            </w:tcBorders>
            <w:shd w:fill="FFFFFF" w:val="clear"/>
            <w:tcMar>
              <w:top w:type="dxa" w:w="80"/>
              <w:left w:type="dxa" w:w="140"/>
              <w:bottom w:type="dxa" w:w="80"/>
              <w:right w:type="dxa" w:w="140"/>
            </w:tcMar>
          </w:tcPr>
          <w:p>
            <w:r>
              <w:rPr>
                <w:rFonts w:ascii="Arial" w:cs="Arial" w:eastAsia="Arial" w:hAnsi="Arial"/>
                <w:b/>
                <w:bCs/>
                <w:color w:val="1A1A1A"/>
                <w:sz w:val="19"/>
                <w:szCs w:val="19"/>
              </w:rPr>
              <w:t xml:space="preserve">5</w:t>
            </w:r>
          </w:p>
        </w:tc>
        <w:tc>
          <w:tcPr>
            <w:tcW w:type="dxa" w:w="3600"/>
            <w:tcBorders>
              <w:top w:val="single" w:color="D0D8D9" w:sz="1"/>
              <w:left w:val="single" w:color="D0D8D9" w:sz="1"/>
              <w:bottom w:val="single" w:color="D0D8D9" w:sz="1"/>
              <w:right w:val="single" w:color="D0D8D9" w:sz="1"/>
            </w:tcBorders>
            <w:shd w:fill="FFFFFF" w:val="clear"/>
            <w:tcMar>
              <w:top w:type="dxa" w:w="80"/>
              <w:left w:type="dxa" w:w="140"/>
              <w:bottom w:type="dxa" w:w="80"/>
              <w:right w:type="dxa" w:w="140"/>
            </w:tcMar>
          </w:tcPr>
          <w:p>
            <w:r>
              <w:rPr>
                <w:rFonts w:ascii="Arial" w:cs="Arial" w:eastAsia="Arial" w:hAnsi="Arial"/>
                <w:b w:val="false"/>
                <w:bCs w:val="false"/>
                <w:color w:val="363636"/>
                <w:sz w:val="19"/>
                <w:szCs w:val="19"/>
              </w:rPr>
              <w:t xml:space="preserve">Competitor comparison table: Teufel vs Bose vs Sonos, 5 dimensions</w:t>
            </w:r>
          </w:p>
        </w:tc>
        <w:tc>
          <w:tcPr>
            <w:tcW w:type="dxa" w:w="2040"/>
            <w:tcBorders>
              <w:top w:val="single" w:color="D0D8D9" w:sz="1"/>
              <w:left w:val="single" w:color="D0D8D9" w:sz="1"/>
              <w:bottom w:val="single" w:color="D0D8D9" w:sz="1"/>
              <w:right w:val="single" w:color="D0D8D9" w:sz="1"/>
            </w:tcBorders>
            <w:shd w:fill="FFFFFF" w:val="clear"/>
            <w:tcMar>
              <w:top w:type="dxa" w:w="80"/>
              <w:left w:type="dxa" w:w="140"/>
              <w:bottom w:type="dxa" w:w="80"/>
              <w:right w:type="dxa" w:w="140"/>
            </w:tcMar>
          </w:tcPr>
          <w:p>
            <w:r>
              <w:rPr>
                <w:rFonts w:ascii="Arial" w:cs="Arial" w:eastAsia="Arial" w:hAnsi="Arial"/>
                <w:b w:val="false"/>
                <w:bCs w:val="false"/>
                <w:color w:val="363636"/>
                <w:sz w:val="19"/>
                <w:szCs w:val="19"/>
              </w:rPr>
              <w:t xml:space="preserve">Medium (copy)</w:t>
            </w:r>
          </w:p>
        </w:tc>
        <w:tc>
          <w:tcPr>
            <w:tcW w:type="dxa" w:w="3900"/>
            <w:tcBorders>
              <w:top w:val="single" w:color="D0D8D9" w:sz="1"/>
              <w:left w:val="single" w:color="D0D8D9" w:sz="1"/>
              <w:bottom w:val="single" w:color="D0D8D9" w:sz="1"/>
              <w:right w:val="single" w:color="D0D8D9" w:sz="1"/>
            </w:tcBorders>
            <w:shd w:fill="FFFFFF" w:val="clear"/>
            <w:tcMar>
              <w:top w:type="dxa" w:w="80"/>
              <w:left w:type="dxa" w:w="140"/>
              <w:bottom w:type="dxa" w:w="80"/>
              <w:right w:type="dxa" w:w="140"/>
            </w:tcMar>
          </w:tcPr>
          <w:p>
            <w:r>
              <w:rPr>
                <w:rFonts w:ascii="Arial" w:cs="Arial" w:eastAsia="Arial" w:hAnsi="Arial"/>
                <w:b w:val="false"/>
                <w:bCs w:val="false"/>
                <w:color w:val="363636"/>
                <w:sz w:val="19"/>
                <w:szCs w:val="19"/>
              </w:rPr>
              <w:t xml:space="preserve">Addresses #1 objection on-page. SEO content gap — "Teufel vs Sonos" has 45 monthly searches with no Teufel result.</w:t>
            </w:r>
          </w:p>
        </w:tc>
      </w:tr>
      <w:tr>
        <w:tc>
          <w:tcPr>
            <w:tcW w:type="dxa" w:w="300"/>
            <w:tcBorders>
              <w:top w:val="single" w:color="D0D8D9" w:sz="1"/>
              <w:left w:val="single" w:color="D0D8D9" w:sz="1"/>
              <w:bottom w:val="single" w:color="D0D8D9" w:sz="1"/>
              <w:right w:val="single" w:color="D0D8D9" w:sz="1"/>
            </w:tcBorders>
            <w:shd w:fill="F4F8F9" w:val="clear"/>
            <w:tcMar>
              <w:top w:type="dxa" w:w="80"/>
              <w:left w:type="dxa" w:w="140"/>
              <w:bottom w:type="dxa" w:w="80"/>
              <w:right w:type="dxa" w:w="140"/>
            </w:tcMar>
          </w:tcPr>
          <w:p>
            <w:r>
              <w:rPr>
                <w:rFonts w:ascii="Arial" w:cs="Arial" w:eastAsia="Arial" w:hAnsi="Arial"/>
                <w:b/>
                <w:bCs/>
                <w:color w:val="1A1A1A"/>
                <w:sz w:val="19"/>
                <w:szCs w:val="19"/>
              </w:rPr>
              <w:t xml:space="preserve">6</w:t>
            </w:r>
          </w:p>
        </w:tc>
        <w:tc>
          <w:tcPr>
            <w:tcW w:type="dxa" w:w="3600"/>
            <w:tcBorders>
              <w:top w:val="single" w:color="D0D8D9" w:sz="1"/>
              <w:left w:val="single" w:color="D0D8D9" w:sz="1"/>
              <w:bottom w:val="single" w:color="D0D8D9" w:sz="1"/>
              <w:right w:val="single" w:color="D0D8D9" w:sz="1"/>
            </w:tcBorders>
            <w:shd w:fill="F4F8F9" w:val="clear"/>
            <w:tcMar>
              <w:top w:type="dxa" w:w="80"/>
              <w:left w:type="dxa" w:w="140"/>
              <w:bottom w:type="dxa" w:w="80"/>
              <w:right w:type="dxa" w:w="140"/>
            </w:tcMar>
          </w:tcPr>
          <w:p>
            <w:r>
              <w:rPr>
                <w:rFonts w:ascii="Arial" w:cs="Arial" w:eastAsia="Arial" w:hAnsi="Arial"/>
                <w:b w:val="false"/>
                <w:bCs w:val="false"/>
                <w:color w:val="363636"/>
                <w:sz w:val="19"/>
                <w:szCs w:val="19"/>
              </w:rPr>
              <w:t xml:space="preserve">FAQ: minimum 4 questions covering compatibility, returns, brand comparison, warranty</w:t>
            </w:r>
          </w:p>
        </w:tc>
        <w:tc>
          <w:tcPr>
            <w:tcW w:type="dxa" w:w="2040"/>
            <w:tcBorders>
              <w:top w:val="single" w:color="D0D8D9" w:sz="1"/>
              <w:left w:val="single" w:color="D0D8D9" w:sz="1"/>
              <w:bottom w:val="single" w:color="D0D8D9" w:sz="1"/>
              <w:right w:val="single" w:color="D0D8D9" w:sz="1"/>
            </w:tcBorders>
            <w:shd w:fill="F4F8F9" w:val="clear"/>
            <w:tcMar>
              <w:top w:type="dxa" w:w="80"/>
              <w:left w:type="dxa" w:w="140"/>
              <w:bottom w:type="dxa" w:w="80"/>
              <w:right w:type="dxa" w:w="140"/>
            </w:tcMar>
          </w:tcPr>
          <w:p>
            <w:r>
              <w:rPr>
                <w:rFonts w:ascii="Arial" w:cs="Arial" w:eastAsia="Arial" w:hAnsi="Arial"/>
                <w:b w:val="false"/>
                <w:bCs w:val="false"/>
                <w:color w:val="363636"/>
                <w:sz w:val="19"/>
                <w:szCs w:val="19"/>
              </w:rPr>
              <w:t xml:space="preserve">Low (copy)</w:t>
            </w:r>
          </w:p>
        </w:tc>
        <w:tc>
          <w:tcPr>
            <w:tcW w:type="dxa" w:w="3900"/>
            <w:tcBorders>
              <w:top w:val="single" w:color="D0D8D9" w:sz="1"/>
              <w:left w:val="single" w:color="D0D8D9" w:sz="1"/>
              <w:bottom w:val="single" w:color="D0D8D9" w:sz="1"/>
              <w:right w:val="single" w:color="D0D8D9" w:sz="1"/>
            </w:tcBorders>
            <w:shd w:fill="F4F8F9" w:val="clear"/>
            <w:tcMar>
              <w:top w:type="dxa" w:w="80"/>
              <w:left w:type="dxa" w:w="140"/>
              <w:bottom w:type="dxa" w:w="80"/>
              <w:right w:type="dxa" w:w="140"/>
            </w:tcMar>
          </w:tcPr>
          <w:p>
            <w:r>
              <w:rPr>
                <w:rFonts w:ascii="Arial" w:cs="Arial" w:eastAsia="Arial" w:hAnsi="Arial"/>
                <w:b w:val="false"/>
                <w:bCs w:val="false"/>
                <w:color w:val="363636"/>
                <w:sz w:val="19"/>
                <w:szCs w:val="19"/>
              </w:rPr>
              <w:t xml:space="preserve">Forum data shows these questions exist before purchase. Answering them on-page drops cart abandonment.</w:t>
            </w:r>
          </w:p>
        </w:tc>
      </w:tr>
      <w:tr>
        <w:tc>
          <w:tcPr>
            <w:tcW w:type="dxa" w:w="300"/>
            <w:tcBorders>
              <w:top w:val="single" w:color="D0D8D9" w:sz="1"/>
              <w:left w:val="single" w:color="D0D8D9" w:sz="1"/>
              <w:bottom w:val="single" w:color="D0D8D9" w:sz="1"/>
              <w:right w:val="single" w:color="D0D8D9" w:sz="1"/>
            </w:tcBorders>
            <w:shd w:fill="FFFFFF" w:val="clear"/>
            <w:tcMar>
              <w:top w:type="dxa" w:w="80"/>
              <w:left w:type="dxa" w:w="140"/>
              <w:bottom w:type="dxa" w:w="80"/>
              <w:right w:type="dxa" w:w="140"/>
            </w:tcMar>
          </w:tcPr>
          <w:p>
            <w:r>
              <w:rPr>
                <w:rFonts w:ascii="Arial" w:cs="Arial" w:eastAsia="Arial" w:hAnsi="Arial"/>
                <w:b/>
                <w:bCs/>
                <w:color w:val="1A1A1A"/>
                <w:sz w:val="19"/>
                <w:szCs w:val="19"/>
              </w:rPr>
              <w:t xml:space="preserve">7</w:t>
            </w:r>
          </w:p>
        </w:tc>
        <w:tc>
          <w:tcPr>
            <w:tcW w:type="dxa" w:w="3600"/>
            <w:tcBorders>
              <w:top w:val="single" w:color="D0D8D9" w:sz="1"/>
              <w:left w:val="single" w:color="D0D8D9" w:sz="1"/>
              <w:bottom w:val="single" w:color="D0D8D9" w:sz="1"/>
              <w:right w:val="single" w:color="D0D8D9" w:sz="1"/>
            </w:tcBorders>
            <w:shd w:fill="FFFFFF" w:val="clear"/>
            <w:tcMar>
              <w:top w:type="dxa" w:w="80"/>
              <w:left w:type="dxa" w:w="140"/>
              <w:bottom w:type="dxa" w:w="80"/>
              <w:right w:type="dxa" w:w="140"/>
            </w:tcMar>
          </w:tcPr>
          <w:p>
            <w:r>
              <w:rPr>
                <w:rFonts w:ascii="Arial" w:cs="Arial" w:eastAsia="Arial" w:hAnsi="Arial"/>
                <w:b w:val="false"/>
                <w:bCs w:val="false"/>
                <w:color w:val="363636"/>
                <w:sz w:val="19"/>
                <w:szCs w:val="19"/>
              </w:rPr>
              <w:t xml:space="preserve">Countdown timer or "nur bis [DATE]" if sale period is confirmed</w:t>
            </w:r>
          </w:p>
        </w:tc>
        <w:tc>
          <w:tcPr>
            <w:tcW w:type="dxa" w:w="2040"/>
            <w:tcBorders>
              <w:top w:val="single" w:color="D0D8D9" w:sz="1"/>
              <w:left w:val="single" w:color="D0D8D9" w:sz="1"/>
              <w:bottom w:val="single" w:color="D0D8D9" w:sz="1"/>
              <w:right w:val="single" w:color="D0D8D9" w:sz="1"/>
            </w:tcBorders>
            <w:shd w:fill="FFFFFF" w:val="clear"/>
            <w:tcMar>
              <w:top w:type="dxa" w:w="80"/>
              <w:left w:type="dxa" w:w="140"/>
              <w:bottom w:type="dxa" w:w="80"/>
              <w:right w:type="dxa" w:w="140"/>
            </w:tcMar>
          </w:tcPr>
          <w:p>
            <w:r>
              <w:rPr>
                <w:rFonts w:ascii="Arial" w:cs="Arial" w:eastAsia="Arial" w:hAnsi="Arial"/>
                <w:b w:val="false"/>
                <w:bCs w:val="false"/>
                <w:color w:val="363636"/>
                <w:sz w:val="19"/>
                <w:szCs w:val="19"/>
              </w:rPr>
              <w:t xml:space="preserve">Low (tech)</w:t>
            </w:r>
          </w:p>
        </w:tc>
        <w:tc>
          <w:tcPr>
            <w:tcW w:type="dxa" w:w="3900"/>
            <w:tcBorders>
              <w:top w:val="single" w:color="D0D8D9" w:sz="1"/>
              <w:left w:val="single" w:color="D0D8D9" w:sz="1"/>
              <w:bottom w:val="single" w:color="D0D8D9" w:sz="1"/>
              <w:right w:val="single" w:color="D0D8D9" w:sz="1"/>
            </w:tcBorders>
            <w:shd w:fill="FFFFFF" w:val="clear"/>
            <w:tcMar>
              <w:top w:type="dxa" w:w="80"/>
              <w:left w:type="dxa" w:w="140"/>
              <w:bottom w:type="dxa" w:w="80"/>
              <w:right w:type="dxa" w:w="140"/>
            </w:tcMar>
          </w:tcPr>
          <w:p>
            <w:r>
              <w:rPr>
                <w:rFonts w:ascii="Arial" w:cs="Arial" w:eastAsia="Arial" w:hAnsi="Arial"/>
                <w:b w:val="false"/>
                <w:bCs w:val="false"/>
                <w:color w:val="363636"/>
                <w:sz w:val="19"/>
                <w:szCs w:val="19"/>
              </w:rPr>
              <w:t xml:space="preserve">Bose's "NUR 4 TAGE" is the most powerful conversion element on their page. Real deadlines convert; fake ones destroy trust.</w:t>
            </w:r>
          </w:p>
        </w:tc>
      </w:tr>
    </w:tbl>
    <w:p>
      <w:pPr>
        <w:spacing w:after="200"/>
      </w:pPr>
    </w:p>
    <w:p>
      <w:pPr>
        <w:pStyle w:val="Heading2"/>
        <w:spacing w:before="320" w:after="140"/>
      </w:pPr>
      <w:r>
        <w:rPr>
          <w:rFonts w:ascii="Arial Black" w:cs="Arial Black" w:eastAsia="Arial Black" w:hAnsi="Arial Black"/>
          <w:b/>
          <w:bCs/>
          <w:color w:val="1A1A1A"/>
          <w:sz w:val="28"/>
          <w:szCs w:val="28"/>
        </w:rPr>
        <w:t xml:space="preserve">5.2 Nice-to-Haves (Improve conversion, not launch blockers)</w:t>
      </w:r>
    </w:p>
    <w:tbl>
      <w:tblPr>
        <w:tblW w:type="dxa" w:w="9840"/>
        <w:tblBorders>
          <w:top w:val="single" w:color="auto" w:sz="4"/>
          <w:left w:val="single" w:color="auto" w:sz="4"/>
          <w:bottom w:val="single" w:color="auto" w:sz="4"/>
          <w:right w:val="single" w:color="auto" w:sz="4"/>
          <w:insideH w:val="single" w:color="auto" w:sz="4"/>
          <w:insideV w:val="single" w:color="auto" w:sz="4"/>
        </w:tblBorders>
      </w:tblPr>
      <w:tblGrid>
        <w:gridCol w:w="300"/>
        <w:gridCol w:w="3600"/>
        <w:gridCol w:w="2040"/>
        <w:gridCol w:w="3900"/>
      </w:tblGrid>
      <w:tr>
        <w:trPr>
          <w:tblHeader/>
        </w:trPr>
        <w:tc>
          <w:tcPr>
            <w:tcW w:type="dxa" w:w="300"/>
            <w:tcBorders>
              <w:top w:val="single" w:color="0F6B72" w:sz="1"/>
              <w:left w:val="single" w:color="0F6B72" w:sz="1"/>
              <w:bottom w:val="single" w:color="0F6B72" w:sz="1"/>
              <w:right w:val="single" w:color="0F6B72" w:sz="1"/>
            </w:tcBorders>
            <w:shd w:fill="0F6B72" w:val="clear"/>
            <w:tcMar>
              <w:top w:type="dxa" w:w="100"/>
              <w:left w:type="dxa" w:w="140"/>
              <w:bottom w:type="dxa" w:w="100"/>
              <w:right w:type="dxa" w:w="140"/>
            </w:tcMar>
            <w:vAlign w:val="center"/>
          </w:tcPr>
          <w:p>
            <w:r>
              <w:rPr>
                <w:rFonts w:ascii="Arial" w:cs="Arial" w:eastAsia="Arial" w:hAnsi="Arial"/>
                <w:b/>
                <w:bCs/>
                <w:color w:val="FFFFFF"/>
                <w:sz w:val="19"/>
                <w:szCs w:val="19"/>
              </w:rPr>
              <w:t xml:space="preserve">#</w:t>
            </w:r>
          </w:p>
        </w:tc>
        <w:tc>
          <w:tcPr>
            <w:tcW w:type="dxa" w:w="3600"/>
            <w:tcBorders>
              <w:top w:val="single" w:color="0F6B72" w:sz="1"/>
              <w:left w:val="single" w:color="0F6B72" w:sz="1"/>
              <w:bottom w:val="single" w:color="0F6B72" w:sz="1"/>
              <w:right w:val="single" w:color="0F6B72" w:sz="1"/>
            </w:tcBorders>
            <w:shd w:fill="0F6B72" w:val="clear"/>
            <w:tcMar>
              <w:top w:type="dxa" w:w="100"/>
              <w:left w:type="dxa" w:w="140"/>
              <w:bottom w:type="dxa" w:w="100"/>
              <w:right w:type="dxa" w:w="140"/>
            </w:tcMar>
            <w:vAlign w:val="center"/>
          </w:tcPr>
          <w:p>
            <w:r>
              <w:rPr>
                <w:rFonts w:ascii="Arial" w:cs="Arial" w:eastAsia="Arial" w:hAnsi="Arial"/>
                <w:b/>
                <w:bCs/>
                <w:color w:val="FFFFFF"/>
                <w:sz w:val="19"/>
                <w:szCs w:val="19"/>
              </w:rPr>
              <w:t xml:space="preserve">Element</w:t>
            </w:r>
          </w:p>
        </w:tc>
        <w:tc>
          <w:tcPr>
            <w:tcW w:type="dxa" w:w="2040"/>
            <w:tcBorders>
              <w:top w:val="single" w:color="0F6B72" w:sz="1"/>
              <w:left w:val="single" w:color="0F6B72" w:sz="1"/>
              <w:bottom w:val="single" w:color="0F6B72" w:sz="1"/>
              <w:right w:val="single" w:color="0F6B72" w:sz="1"/>
            </w:tcBorders>
            <w:shd w:fill="0F6B72" w:val="clear"/>
            <w:tcMar>
              <w:top w:type="dxa" w:w="100"/>
              <w:left w:type="dxa" w:w="140"/>
              <w:bottom w:type="dxa" w:w="100"/>
              <w:right w:type="dxa" w:w="140"/>
            </w:tcMar>
            <w:vAlign w:val="center"/>
          </w:tcPr>
          <w:p>
            <w:r>
              <w:rPr>
                <w:rFonts w:ascii="Arial" w:cs="Arial" w:eastAsia="Arial" w:hAnsi="Arial"/>
                <w:b/>
                <w:bCs/>
                <w:color w:val="FFFFFF"/>
                <w:sz w:val="19"/>
                <w:szCs w:val="19"/>
              </w:rPr>
              <w:t xml:space="preserve">Effort</w:t>
            </w:r>
          </w:p>
        </w:tc>
        <w:tc>
          <w:tcPr>
            <w:tcW w:type="dxa" w:w="3900"/>
            <w:tcBorders>
              <w:top w:val="single" w:color="0F6B72" w:sz="1"/>
              <w:left w:val="single" w:color="0F6B72" w:sz="1"/>
              <w:bottom w:val="single" w:color="0F6B72" w:sz="1"/>
              <w:right w:val="single" w:color="0F6B72" w:sz="1"/>
            </w:tcBorders>
            <w:shd w:fill="0F6B72" w:val="clear"/>
            <w:tcMar>
              <w:top w:type="dxa" w:w="100"/>
              <w:left w:type="dxa" w:w="140"/>
              <w:bottom w:type="dxa" w:w="100"/>
              <w:right w:type="dxa" w:w="140"/>
            </w:tcMar>
            <w:vAlign w:val="center"/>
          </w:tcPr>
          <w:p>
            <w:r>
              <w:rPr>
                <w:rFonts w:ascii="Arial" w:cs="Arial" w:eastAsia="Arial" w:hAnsi="Arial"/>
                <w:b/>
                <w:bCs/>
                <w:color w:val="FFFFFF"/>
                <w:sz w:val="19"/>
                <w:szCs w:val="19"/>
              </w:rPr>
              <w:t xml:space="preserve">Uplift</w:t>
            </w:r>
          </w:p>
        </w:tc>
      </w:tr>
      <w:tr>
        <w:tc>
          <w:tcPr>
            <w:tcW w:type="dxa" w:w="300"/>
            <w:tcBorders>
              <w:top w:val="single" w:color="D0D8D9" w:sz="1"/>
              <w:left w:val="single" w:color="D0D8D9" w:sz="1"/>
              <w:bottom w:val="single" w:color="D0D8D9" w:sz="1"/>
              <w:right w:val="single" w:color="D0D8D9" w:sz="1"/>
            </w:tcBorders>
            <w:shd w:fill="FFFFFF" w:val="clear"/>
            <w:tcMar>
              <w:top w:type="dxa" w:w="80"/>
              <w:left w:type="dxa" w:w="140"/>
              <w:bottom w:type="dxa" w:w="80"/>
              <w:right w:type="dxa" w:w="140"/>
            </w:tcMar>
          </w:tcPr>
          <w:p>
            <w:r>
              <w:rPr>
                <w:rFonts w:ascii="Arial" w:cs="Arial" w:eastAsia="Arial" w:hAnsi="Arial"/>
                <w:b/>
                <w:bCs/>
                <w:color w:val="1A1A1A"/>
                <w:sz w:val="19"/>
                <w:szCs w:val="19"/>
              </w:rPr>
              <w:t xml:space="preserve">1</w:t>
            </w:r>
          </w:p>
        </w:tc>
        <w:tc>
          <w:tcPr>
            <w:tcW w:type="dxa" w:w="3600"/>
            <w:tcBorders>
              <w:top w:val="single" w:color="D0D8D9" w:sz="1"/>
              <w:left w:val="single" w:color="D0D8D9" w:sz="1"/>
              <w:bottom w:val="single" w:color="D0D8D9" w:sz="1"/>
              <w:right w:val="single" w:color="D0D8D9" w:sz="1"/>
            </w:tcBorders>
            <w:shd w:fill="FFFFFF" w:val="clear"/>
            <w:tcMar>
              <w:top w:type="dxa" w:w="80"/>
              <w:left w:type="dxa" w:w="140"/>
              <w:bottom w:type="dxa" w:w="80"/>
              <w:right w:type="dxa" w:w="140"/>
            </w:tcMar>
          </w:tcPr>
          <w:p>
            <w:r>
              <w:rPr>
                <w:rFonts w:ascii="Arial" w:cs="Arial" w:eastAsia="Arial" w:hAnsi="Arial"/>
                <w:b w:val="false"/>
                <w:bCs w:val="false"/>
                <w:color w:val="363636"/>
                <w:sz w:val="19"/>
                <w:szCs w:val="19"/>
              </w:rPr>
              <w:t xml:space="preserve">Setup video: 1–2 min, HDMI eARC + placement</w:t>
            </w:r>
          </w:p>
        </w:tc>
        <w:tc>
          <w:tcPr>
            <w:tcW w:type="dxa" w:w="2040"/>
            <w:tcBorders>
              <w:top w:val="single" w:color="D0D8D9" w:sz="1"/>
              <w:left w:val="single" w:color="D0D8D9" w:sz="1"/>
              <w:bottom w:val="single" w:color="D0D8D9" w:sz="1"/>
              <w:right w:val="single" w:color="D0D8D9" w:sz="1"/>
            </w:tcBorders>
            <w:shd w:fill="FFFFFF" w:val="clear"/>
            <w:tcMar>
              <w:top w:type="dxa" w:w="80"/>
              <w:left w:type="dxa" w:w="140"/>
              <w:bottom w:type="dxa" w:w="80"/>
              <w:right w:type="dxa" w:w="140"/>
            </w:tcMar>
          </w:tcPr>
          <w:p>
            <w:r>
              <w:rPr>
                <w:rFonts w:ascii="Arial" w:cs="Arial" w:eastAsia="Arial" w:hAnsi="Arial"/>
                <w:b w:val="false"/>
                <w:bCs w:val="false"/>
                <w:color w:val="363636"/>
                <w:sz w:val="19"/>
                <w:szCs w:val="19"/>
              </w:rPr>
              <w:t xml:space="preserve">High (production)</w:t>
            </w:r>
          </w:p>
        </w:tc>
        <w:tc>
          <w:tcPr>
            <w:tcW w:type="dxa" w:w="3900"/>
            <w:tcBorders>
              <w:top w:val="single" w:color="D0D8D9" w:sz="1"/>
              <w:left w:val="single" w:color="D0D8D9" w:sz="1"/>
              <w:bottom w:val="single" w:color="D0D8D9" w:sz="1"/>
              <w:right w:val="single" w:color="D0D8D9" w:sz="1"/>
            </w:tcBorders>
            <w:shd w:fill="FFFFFF" w:val="clear"/>
            <w:tcMar>
              <w:top w:type="dxa" w:w="80"/>
              <w:left w:type="dxa" w:w="140"/>
              <w:bottom w:type="dxa" w:w="80"/>
              <w:right w:type="dxa" w:w="140"/>
            </w:tcMar>
          </w:tcPr>
          <w:p>
            <w:r>
              <w:rPr>
                <w:rFonts w:ascii="Arial" w:cs="Arial" w:eastAsia="Arial" w:hAnsi="Arial"/>
                <w:b w:val="false"/>
                <w:bCs w:val="false"/>
                <w:color w:val="363636"/>
                <w:sz w:val="19"/>
                <w:szCs w:val="19"/>
              </w:rPr>
              <w:t xml:space="preserve">Highest single-element conversion uplift after FAQ — but requires video production.</w:t>
            </w:r>
          </w:p>
        </w:tc>
      </w:tr>
      <w:tr>
        <w:tc>
          <w:tcPr>
            <w:tcW w:type="dxa" w:w="300"/>
            <w:tcBorders>
              <w:top w:val="single" w:color="D0D8D9" w:sz="1"/>
              <w:left w:val="single" w:color="D0D8D9" w:sz="1"/>
              <w:bottom w:val="single" w:color="D0D8D9" w:sz="1"/>
              <w:right w:val="single" w:color="D0D8D9" w:sz="1"/>
            </w:tcBorders>
            <w:shd w:fill="F4F8F9" w:val="clear"/>
            <w:tcMar>
              <w:top w:type="dxa" w:w="80"/>
              <w:left w:type="dxa" w:w="140"/>
              <w:bottom w:type="dxa" w:w="80"/>
              <w:right w:type="dxa" w:w="140"/>
            </w:tcMar>
          </w:tcPr>
          <w:p>
            <w:r>
              <w:rPr>
                <w:rFonts w:ascii="Arial" w:cs="Arial" w:eastAsia="Arial" w:hAnsi="Arial"/>
                <w:b w:val="false"/>
                <w:bCs w:val="false"/>
                <w:color w:val="363636"/>
                <w:sz w:val="19"/>
                <w:szCs w:val="19"/>
              </w:rPr>
              <w:t xml:space="preserve">2</w:t>
            </w:r>
          </w:p>
        </w:tc>
        <w:tc>
          <w:tcPr>
            <w:tcW w:type="dxa" w:w="3600"/>
            <w:tcBorders>
              <w:top w:val="single" w:color="D0D8D9" w:sz="1"/>
              <w:left w:val="single" w:color="D0D8D9" w:sz="1"/>
              <w:bottom w:val="single" w:color="D0D8D9" w:sz="1"/>
              <w:right w:val="single" w:color="D0D8D9" w:sz="1"/>
            </w:tcBorders>
            <w:shd w:fill="F4F8F9" w:val="clear"/>
            <w:tcMar>
              <w:top w:type="dxa" w:w="80"/>
              <w:left w:type="dxa" w:w="140"/>
              <w:bottom w:type="dxa" w:w="80"/>
              <w:right w:type="dxa" w:w="140"/>
            </w:tcMar>
          </w:tcPr>
          <w:p>
            <w:r>
              <w:rPr>
                <w:rFonts w:ascii="Arial" w:cs="Arial" w:eastAsia="Arial" w:hAnsi="Arial"/>
                <w:b w:val="false"/>
                <w:bCs w:val="false"/>
                <w:color w:val="363636"/>
                <w:sz w:val="19"/>
                <w:szCs w:val="19"/>
              </w:rPr>
              <w:t xml:space="preserve">Reviews filterable by use case (Film / Musik / Gaming)</w:t>
            </w:r>
          </w:p>
        </w:tc>
        <w:tc>
          <w:tcPr>
            <w:tcW w:type="dxa" w:w="2040"/>
            <w:tcBorders>
              <w:top w:val="single" w:color="D0D8D9" w:sz="1"/>
              <w:left w:val="single" w:color="D0D8D9" w:sz="1"/>
              <w:bottom w:val="single" w:color="D0D8D9" w:sz="1"/>
              <w:right w:val="single" w:color="D0D8D9" w:sz="1"/>
            </w:tcBorders>
            <w:shd w:fill="F4F8F9" w:val="clear"/>
            <w:tcMar>
              <w:top w:type="dxa" w:w="80"/>
              <w:left w:type="dxa" w:w="140"/>
              <w:bottom w:type="dxa" w:w="80"/>
              <w:right w:type="dxa" w:w="140"/>
            </w:tcMar>
          </w:tcPr>
          <w:p>
            <w:r>
              <w:rPr>
                <w:rFonts w:ascii="Arial" w:cs="Arial" w:eastAsia="Arial" w:hAnsi="Arial"/>
                <w:b w:val="false"/>
                <w:bCs w:val="false"/>
                <w:color w:val="363636"/>
                <w:sz w:val="19"/>
                <w:szCs w:val="19"/>
              </w:rPr>
              <w:t xml:space="preserve">Medium (dev)</w:t>
            </w:r>
          </w:p>
        </w:tc>
        <w:tc>
          <w:tcPr>
            <w:tcW w:type="dxa" w:w="3900"/>
            <w:tcBorders>
              <w:top w:val="single" w:color="D0D8D9" w:sz="1"/>
              <w:left w:val="single" w:color="D0D8D9" w:sz="1"/>
              <w:bottom w:val="single" w:color="D0D8D9" w:sz="1"/>
              <w:right w:val="single" w:color="D0D8D9" w:sz="1"/>
            </w:tcBorders>
            <w:shd w:fill="F4F8F9" w:val="clear"/>
            <w:tcMar>
              <w:top w:type="dxa" w:w="80"/>
              <w:left w:type="dxa" w:w="140"/>
              <w:bottom w:type="dxa" w:w="80"/>
              <w:right w:type="dxa" w:w="140"/>
            </w:tcMar>
          </w:tcPr>
          <w:p>
            <w:r>
              <w:rPr>
                <w:rFonts w:ascii="Arial" w:cs="Arial" w:eastAsia="Arial" w:hAnsi="Arial"/>
                <w:b w:val="false"/>
                <w:bCs w:val="false"/>
                <w:color w:val="363636"/>
                <w:sz w:val="19"/>
                <w:szCs w:val="19"/>
              </w:rPr>
              <w:t xml:space="preserve">Makes reviews relevant to the specific buyer. Moderate dev effort.</w:t>
            </w:r>
          </w:p>
        </w:tc>
      </w:tr>
      <w:tr>
        <w:tc>
          <w:tcPr>
            <w:tcW w:type="dxa" w:w="300"/>
            <w:tcBorders>
              <w:top w:val="single" w:color="D0D8D9" w:sz="1"/>
              <w:left w:val="single" w:color="D0D8D9" w:sz="1"/>
              <w:bottom w:val="single" w:color="D0D8D9" w:sz="1"/>
              <w:right w:val="single" w:color="D0D8D9" w:sz="1"/>
            </w:tcBorders>
            <w:shd w:fill="FFFFFF" w:val="clear"/>
            <w:tcMar>
              <w:top w:type="dxa" w:w="80"/>
              <w:left w:type="dxa" w:w="140"/>
              <w:bottom w:type="dxa" w:w="80"/>
              <w:right w:type="dxa" w:w="140"/>
            </w:tcMar>
          </w:tcPr>
          <w:p>
            <w:r>
              <w:rPr>
                <w:rFonts w:ascii="Arial" w:cs="Arial" w:eastAsia="Arial" w:hAnsi="Arial"/>
                <w:b w:val="false"/>
                <w:bCs w:val="false"/>
                <w:color w:val="363636"/>
                <w:sz w:val="19"/>
                <w:szCs w:val="19"/>
              </w:rPr>
              <w:t xml:space="preserve">3</w:t>
            </w:r>
          </w:p>
        </w:tc>
        <w:tc>
          <w:tcPr>
            <w:tcW w:type="dxa" w:w="3600"/>
            <w:tcBorders>
              <w:top w:val="single" w:color="D0D8D9" w:sz="1"/>
              <w:left w:val="single" w:color="D0D8D9" w:sz="1"/>
              <w:bottom w:val="single" w:color="D0D8D9" w:sz="1"/>
              <w:right w:val="single" w:color="D0D8D9" w:sz="1"/>
            </w:tcBorders>
            <w:shd w:fill="FFFFFF" w:val="clear"/>
            <w:tcMar>
              <w:top w:type="dxa" w:w="80"/>
              <w:left w:type="dxa" w:w="140"/>
              <w:bottom w:type="dxa" w:w="80"/>
              <w:right w:type="dxa" w:w="140"/>
            </w:tcMar>
          </w:tcPr>
          <w:p>
            <w:r>
              <w:rPr>
                <w:rFonts w:ascii="Arial" w:cs="Arial" w:eastAsia="Arial" w:hAnsi="Arial"/>
                <w:b w:val="false"/>
                <w:bCs w:val="false"/>
                <w:color w:val="363636"/>
                <w:sz w:val="19"/>
                <w:szCs w:val="19"/>
              </w:rPr>
              <w:t xml:space="preserve">0% financing calculator (Alma/Klarna) on product card</w:t>
            </w:r>
          </w:p>
        </w:tc>
        <w:tc>
          <w:tcPr>
            <w:tcW w:type="dxa" w:w="2040"/>
            <w:tcBorders>
              <w:top w:val="single" w:color="D0D8D9" w:sz="1"/>
              <w:left w:val="single" w:color="D0D8D9" w:sz="1"/>
              <w:bottom w:val="single" w:color="D0D8D9" w:sz="1"/>
              <w:right w:val="single" w:color="D0D8D9" w:sz="1"/>
            </w:tcBorders>
            <w:shd w:fill="FFFFFF" w:val="clear"/>
            <w:tcMar>
              <w:top w:type="dxa" w:w="80"/>
              <w:left w:type="dxa" w:w="140"/>
              <w:bottom w:type="dxa" w:w="80"/>
              <w:right w:type="dxa" w:w="140"/>
            </w:tcMar>
          </w:tcPr>
          <w:p>
            <w:r>
              <w:rPr>
                <w:rFonts w:ascii="Arial" w:cs="Arial" w:eastAsia="Arial" w:hAnsi="Arial"/>
                <w:b w:val="false"/>
                <w:bCs w:val="false"/>
                <w:color w:val="363636"/>
                <w:sz w:val="19"/>
                <w:szCs w:val="19"/>
              </w:rPr>
              <w:t xml:space="preserve">Medium</w:t>
            </w:r>
          </w:p>
        </w:tc>
        <w:tc>
          <w:tcPr>
            <w:tcW w:type="dxa" w:w="3900"/>
            <w:tcBorders>
              <w:top w:val="single" w:color="D0D8D9" w:sz="1"/>
              <w:left w:val="single" w:color="D0D8D9" w:sz="1"/>
              <w:bottom w:val="single" w:color="D0D8D9" w:sz="1"/>
              <w:right w:val="single" w:color="D0D8D9" w:sz="1"/>
            </w:tcBorders>
            <w:shd w:fill="FFFFFF" w:val="clear"/>
            <w:tcMar>
              <w:top w:type="dxa" w:w="80"/>
              <w:left w:type="dxa" w:w="140"/>
              <w:bottom w:type="dxa" w:w="80"/>
              <w:right w:type="dxa" w:w="140"/>
            </w:tcMar>
          </w:tcPr>
          <w:p>
            <w:r>
              <w:rPr>
                <w:rFonts w:ascii="Arial" w:cs="Arial" w:eastAsia="Arial" w:hAnsi="Arial"/>
                <w:b w:val="false"/>
                <w:bCs w:val="false"/>
                <w:color w:val="363636"/>
                <w:sz w:val="19"/>
                <w:szCs w:val="19"/>
              </w:rPr>
              <w:t xml:space="preserve">Converts buyers who want the product but are stretching budget. Teufel already offers 0% — expose it earlier.</w:t>
            </w:r>
          </w:p>
        </w:tc>
      </w:tr>
      <w:tr>
        <w:tc>
          <w:tcPr>
            <w:tcW w:type="dxa" w:w="300"/>
            <w:tcBorders>
              <w:top w:val="single" w:color="D0D8D9" w:sz="1"/>
              <w:left w:val="single" w:color="D0D8D9" w:sz="1"/>
              <w:bottom w:val="single" w:color="D0D8D9" w:sz="1"/>
              <w:right w:val="single" w:color="D0D8D9" w:sz="1"/>
            </w:tcBorders>
            <w:shd w:fill="F4F8F9" w:val="clear"/>
            <w:tcMar>
              <w:top w:type="dxa" w:w="80"/>
              <w:left w:type="dxa" w:w="140"/>
              <w:bottom w:type="dxa" w:w="80"/>
              <w:right w:type="dxa" w:w="140"/>
            </w:tcMar>
          </w:tcPr>
          <w:p>
            <w:r>
              <w:rPr>
                <w:rFonts w:ascii="Arial" w:cs="Arial" w:eastAsia="Arial" w:hAnsi="Arial"/>
                <w:b w:val="false"/>
                <w:bCs w:val="false"/>
                <w:color w:val="363636"/>
                <w:sz w:val="19"/>
                <w:szCs w:val="19"/>
              </w:rPr>
              <w:t xml:space="preserve">4</w:t>
            </w:r>
          </w:p>
        </w:tc>
        <w:tc>
          <w:tcPr>
            <w:tcW w:type="dxa" w:w="3600"/>
            <w:tcBorders>
              <w:top w:val="single" w:color="D0D8D9" w:sz="1"/>
              <w:left w:val="single" w:color="D0D8D9" w:sz="1"/>
              <w:bottom w:val="single" w:color="D0D8D9" w:sz="1"/>
              <w:right w:val="single" w:color="D0D8D9" w:sz="1"/>
            </w:tcBorders>
            <w:shd w:fill="F4F8F9" w:val="clear"/>
            <w:tcMar>
              <w:top w:type="dxa" w:w="80"/>
              <w:left w:type="dxa" w:w="140"/>
              <w:bottom w:type="dxa" w:w="80"/>
              <w:right w:type="dxa" w:w="140"/>
            </w:tcMar>
          </w:tcPr>
          <w:p>
            <w:r>
              <w:rPr>
                <w:rFonts w:ascii="Arial" w:cs="Arial" w:eastAsia="Arial" w:hAnsi="Arial"/>
                <w:b w:val="false"/>
                <w:bCs w:val="false"/>
                <w:color w:val="363636"/>
                <w:sz w:val="19"/>
                <w:szCs w:val="19"/>
              </w:rPr>
              <w:t xml:space="preserve">"Which soundbar is right for me?" product advisor (3-question quiz)</w:t>
            </w:r>
          </w:p>
        </w:tc>
        <w:tc>
          <w:tcPr>
            <w:tcW w:type="dxa" w:w="2040"/>
            <w:tcBorders>
              <w:top w:val="single" w:color="D0D8D9" w:sz="1"/>
              <w:left w:val="single" w:color="D0D8D9" w:sz="1"/>
              <w:bottom w:val="single" w:color="D0D8D9" w:sz="1"/>
              <w:right w:val="single" w:color="D0D8D9" w:sz="1"/>
            </w:tcBorders>
            <w:shd w:fill="F4F8F9" w:val="clear"/>
            <w:tcMar>
              <w:top w:type="dxa" w:w="80"/>
              <w:left w:type="dxa" w:w="140"/>
              <w:bottom w:type="dxa" w:w="80"/>
              <w:right w:type="dxa" w:w="140"/>
            </w:tcMar>
          </w:tcPr>
          <w:p>
            <w:r>
              <w:rPr>
                <w:rFonts w:ascii="Arial" w:cs="Arial" w:eastAsia="Arial" w:hAnsi="Arial"/>
                <w:b w:val="false"/>
                <w:bCs w:val="false"/>
                <w:color w:val="363636"/>
                <w:sz w:val="19"/>
                <w:szCs w:val="19"/>
              </w:rPr>
              <w:t xml:space="preserve">High (dev)</w:t>
            </w:r>
          </w:p>
        </w:tc>
        <w:tc>
          <w:tcPr>
            <w:tcW w:type="dxa" w:w="3900"/>
            <w:tcBorders>
              <w:top w:val="single" w:color="D0D8D9" w:sz="1"/>
              <w:left w:val="single" w:color="D0D8D9" w:sz="1"/>
              <w:bottom w:val="single" w:color="D0D8D9" w:sz="1"/>
              <w:right w:val="single" w:color="D0D8D9" w:sz="1"/>
            </w:tcBorders>
            <w:shd w:fill="F4F8F9" w:val="clear"/>
            <w:tcMar>
              <w:top w:type="dxa" w:w="80"/>
              <w:left w:type="dxa" w:w="140"/>
              <w:bottom w:type="dxa" w:w="80"/>
              <w:right w:type="dxa" w:w="140"/>
            </w:tcMar>
          </w:tcPr>
          <w:p>
            <w:r>
              <w:rPr>
                <w:rFonts w:ascii="Arial" w:cs="Arial" w:eastAsia="Arial" w:hAnsi="Arial"/>
                <w:b w:val="false"/>
                <w:bCs w:val="false"/>
                <w:color w:val="363636"/>
                <w:sz w:val="19"/>
                <w:szCs w:val="19"/>
              </w:rPr>
              <w:t xml:space="preserve">Reduces decision fatigue for undecided buyers. High effort; strong conversion for considered purchases.</w:t>
            </w:r>
          </w:p>
        </w:tc>
      </w:tr>
      <w:tr>
        <w:tc>
          <w:tcPr>
            <w:tcW w:type="dxa" w:w="300"/>
            <w:tcBorders>
              <w:top w:val="single" w:color="D0D8D9" w:sz="1"/>
              <w:left w:val="single" w:color="D0D8D9" w:sz="1"/>
              <w:bottom w:val="single" w:color="D0D8D9" w:sz="1"/>
              <w:right w:val="single" w:color="D0D8D9" w:sz="1"/>
            </w:tcBorders>
            <w:shd w:fill="FFFFFF" w:val="clear"/>
            <w:tcMar>
              <w:top w:type="dxa" w:w="80"/>
              <w:left w:type="dxa" w:w="140"/>
              <w:bottom w:type="dxa" w:w="80"/>
              <w:right w:type="dxa" w:w="140"/>
            </w:tcMar>
          </w:tcPr>
          <w:p>
            <w:r>
              <w:rPr>
                <w:rFonts w:ascii="Arial" w:cs="Arial" w:eastAsia="Arial" w:hAnsi="Arial"/>
                <w:b w:val="false"/>
                <w:bCs w:val="false"/>
                <w:color w:val="363636"/>
                <w:sz w:val="19"/>
                <w:szCs w:val="19"/>
              </w:rPr>
              <w:t xml:space="preserve">5</w:t>
            </w:r>
          </w:p>
        </w:tc>
        <w:tc>
          <w:tcPr>
            <w:tcW w:type="dxa" w:w="3600"/>
            <w:tcBorders>
              <w:top w:val="single" w:color="D0D8D9" w:sz="1"/>
              <w:left w:val="single" w:color="D0D8D9" w:sz="1"/>
              <w:bottom w:val="single" w:color="D0D8D9" w:sz="1"/>
              <w:right w:val="single" w:color="D0D8D9" w:sz="1"/>
            </w:tcBorders>
            <w:shd w:fill="FFFFFF" w:val="clear"/>
            <w:tcMar>
              <w:top w:type="dxa" w:w="80"/>
              <w:left w:type="dxa" w:w="140"/>
              <w:bottom w:type="dxa" w:w="80"/>
              <w:right w:type="dxa" w:w="140"/>
            </w:tcMar>
          </w:tcPr>
          <w:p>
            <w:r>
              <w:rPr>
                <w:rFonts w:ascii="Arial" w:cs="Arial" w:eastAsia="Arial" w:hAnsi="Arial"/>
                <w:b w:val="false"/>
                <w:bCs w:val="false"/>
                <w:color w:val="363636"/>
                <w:sz w:val="19"/>
                <w:szCs w:val="19"/>
              </w:rPr>
              <w:t xml:space="preserve">Live stock counter ("Nur noch X verfügbar") on hero SKU</w:t>
            </w:r>
          </w:p>
        </w:tc>
        <w:tc>
          <w:tcPr>
            <w:tcW w:type="dxa" w:w="2040"/>
            <w:tcBorders>
              <w:top w:val="single" w:color="D0D8D9" w:sz="1"/>
              <w:left w:val="single" w:color="D0D8D9" w:sz="1"/>
              <w:bottom w:val="single" w:color="D0D8D9" w:sz="1"/>
              <w:right w:val="single" w:color="D0D8D9" w:sz="1"/>
            </w:tcBorders>
            <w:shd w:fill="FFFFFF" w:val="clear"/>
            <w:tcMar>
              <w:top w:type="dxa" w:w="80"/>
              <w:left w:type="dxa" w:w="140"/>
              <w:bottom w:type="dxa" w:w="80"/>
              <w:right w:type="dxa" w:w="140"/>
            </w:tcMar>
          </w:tcPr>
          <w:p>
            <w:r>
              <w:rPr>
                <w:rFonts w:ascii="Arial" w:cs="Arial" w:eastAsia="Arial" w:hAnsi="Arial"/>
                <w:b w:val="false"/>
                <w:bCs w:val="false"/>
                <w:color w:val="363636"/>
                <w:sz w:val="19"/>
                <w:szCs w:val="19"/>
              </w:rPr>
              <w:t xml:space="preserve">Medium (tech)</w:t>
            </w:r>
          </w:p>
        </w:tc>
        <w:tc>
          <w:tcPr>
            <w:tcW w:type="dxa" w:w="3900"/>
            <w:tcBorders>
              <w:top w:val="single" w:color="D0D8D9" w:sz="1"/>
              <w:left w:val="single" w:color="D0D8D9" w:sz="1"/>
              <w:bottom w:val="single" w:color="D0D8D9" w:sz="1"/>
              <w:right w:val="single" w:color="D0D8D9" w:sz="1"/>
            </w:tcBorders>
            <w:shd w:fill="FFFFFF" w:val="clear"/>
            <w:tcMar>
              <w:top w:type="dxa" w:w="80"/>
              <w:left w:type="dxa" w:w="140"/>
              <w:bottom w:type="dxa" w:w="80"/>
              <w:right w:type="dxa" w:w="140"/>
            </w:tcMar>
          </w:tcPr>
          <w:p>
            <w:r>
              <w:rPr>
                <w:rFonts w:ascii="Arial" w:cs="Arial" w:eastAsia="Arial" w:hAnsi="Arial"/>
                <w:b w:val="false"/>
                <w:bCs w:val="false"/>
                <w:color w:val="363636"/>
                <w:sz w:val="19"/>
                <w:szCs w:val="19"/>
              </w:rPr>
              <w:t xml:space="preserve">Genuine scarcity converts if true. Do not fake it — DACH buyers notice.</w:t>
            </w:r>
          </w:p>
        </w:tc>
      </w:tr>
      <w:tr>
        <w:tc>
          <w:tcPr>
            <w:tcW w:type="dxa" w:w="300"/>
            <w:tcBorders>
              <w:top w:val="single" w:color="D0D8D9" w:sz="1"/>
              <w:left w:val="single" w:color="D0D8D9" w:sz="1"/>
              <w:bottom w:val="single" w:color="D0D8D9" w:sz="1"/>
              <w:right w:val="single" w:color="D0D8D9" w:sz="1"/>
            </w:tcBorders>
            <w:shd w:fill="F4F8F9" w:val="clear"/>
            <w:tcMar>
              <w:top w:type="dxa" w:w="80"/>
              <w:left w:type="dxa" w:w="140"/>
              <w:bottom w:type="dxa" w:w="80"/>
              <w:right w:type="dxa" w:w="140"/>
            </w:tcMar>
          </w:tcPr>
          <w:p>
            <w:r>
              <w:rPr>
                <w:rFonts w:ascii="Arial" w:cs="Arial" w:eastAsia="Arial" w:hAnsi="Arial"/>
                <w:b w:val="false"/>
                <w:bCs w:val="false"/>
                <w:color w:val="363636"/>
                <w:sz w:val="19"/>
                <w:szCs w:val="19"/>
              </w:rPr>
              <w:t xml:space="preserve">6</w:t>
            </w:r>
          </w:p>
        </w:tc>
        <w:tc>
          <w:tcPr>
            <w:tcW w:type="dxa" w:w="3600"/>
            <w:tcBorders>
              <w:top w:val="single" w:color="D0D8D9" w:sz="1"/>
              <w:left w:val="single" w:color="D0D8D9" w:sz="1"/>
              <w:bottom w:val="single" w:color="D0D8D9" w:sz="1"/>
              <w:right w:val="single" w:color="D0D8D9" w:sz="1"/>
            </w:tcBorders>
            <w:shd w:fill="F4F8F9" w:val="clear"/>
            <w:tcMar>
              <w:top w:type="dxa" w:w="80"/>
              <w:left w:type="dxa" w:w="140"/>
              <w:bottom w:type="dxa" w:w="80"/>
              <w:right w:type="dxa" w:w="140"/>
            </w:tcMar>
          </w:tcPr>
          <w:p>
            <w:r>
              <w:rPr>
                <w:rFonts w:ascii="Arial" w:cs="Arial" w:eastAsia="Arial" w:hAnsi="Arial"/>
                <w:b w:val="false"/>
                <w:bCs w:val="false"/>
                <w:color w:val="363636"/>
                <w:sz w:val="19"/>
                <w:szCs w:val="19"/>
              </w:rPr>
              <w:t xml:space="preserve">Lifestyle photography alongside product shots</w:t>
            </w:r>
          </w:p>
        </w:tc>
        <w:tc>
          <w:tcPr>
            <w:tcW w:type="dxa" w:w="2040"/>
            <w:tcBorders>
              <w:top w:val="single" w:color="D0D8D9" w:sz="1"/>
              <w:left w:val="single" w:color="D0D8D9" w:sz="1"/>
              <w:bottom w:val="single" w:color="D0D8D9" w:sz="1"/>
              <w:right w:val="single" w:color="D0D8D9" w:sz="1"/>
            </w:tcBorders>
            <w:shd w:fill="F4F8F9" w:val="clear"/>
            <w:tcMar>
              <w:top w:type="dxa" w:w="80"/>
              <w:left w:type="dxa" w:w="140"/>
              <w:bottom w:type="dxa" w:w="80"/>
              <w:right w:type="dxa" w:w="140"/>
            </w:tcMar>
          </w:tcPr>
          <w:p>
            <w:r>
              <w:rPr>
                <w:rFonts w:ascii="Arial" w:cs="Arial" w:eastAsia="Arial" w:hAnsi="Arial"/>
                <w:b w:val="false"/>
                <w:bCs w:val="false"/>
                <w:color w:val="363636"/>
                <w:sz w:val="19"/>
                <w:szCs w:val="19"/>
              </w:rPr>
              <w:t xml:space="preserve">Medium (asset)</w:t>
            </w:r>
          </w:p>
        </w:tc>
        <w:tc>
          <w:tcPr>
            <w:tcW w:type="dxa" w:w="3900"/>
            <w:tcBorders>
              <w:top w:val="single" w:color="D0D8D9" w:sz="1"/>
              <w:left w:val="single" w:color="D0D8D9" w:sz="1"/>
              <w:bottom w:val="single" w:color="D0D8D9" w:sz="1"/>
              <w:right w:val="single" w:color="D0D8D9" w:sz="1"/>
            </w:tcBorders>
            <w:shd w:fill="F4F8F9" w:val="clear"/>
            <w:tcMar>
              <w:top w:type="dxa" w:w="80"/>
              <w:left w:type="dxa" w:w="140"/>
              <w:bottom w:type="dxa" w:w="80"/>
              <w:right w:type="dxa" w:w="140"/>
            </w:tcMar>
          </w:tcPr>
          <w:p>
            <w:r>
              <w:rPr>
                <w:rFonts w:ascii="Arial" w:cs="Arial" w:eastAsia="Arial" w:hAnsi="Arial"/>
                <w:b w:val="false"/>
                <w:bCs w:val="false"/>
                <w:color w:val="363636"/>
                <w:sz w:val="19"/>
                <w:szCs w:val="19"/>
              </w:rPr>
              <w:t xml:space="preserve">Sonos' lifestyle imagery creates emotional resonance. Converts the "reflect me as a person" buyer (79% of DACH shoppers).</w:t>
            </w:r>
          </w:p>
        </w:tc>
      </w:tr>
    </w:tbl>
    <w:p>
      <w:pPr>
        <w:spacing w:after="320"/>
      </w:pPr>
    </w:p>
    <w:p>
      <w:pPr>
        <w:pStyle w:val="Heading1"/>
        <w:spacing w:before="600" w:after="200"/>
      </w:pPr>
      <w:r>
        <w:rPr>
          <w:rFonts w:ascii="Arial Black" w:cs="Arial Black" w:eastAsia="Arial Black" w:hAnsi="Arial Black"/>
          <w:b/>
          <w:bCs/>
          <w:color w:val="0A4A4E"/>
          <w:sz w:val="36"/>
          <w:szCs w:val="36"/>
        </w:rPr>
        <w:t xml:space="preserve">6 — Open Questions</w:t>
      </w:r>
    </w:p>
    <w:p>
      <w:pPr>
        <w:spacing w:before="60" w:after="120" w:line="276"/>
      </w:pPr>
      <w:r>
        <w:rPr>
          <w:rFonts w:ascii="Arial" w:cs="Arial" w:eastAsia="Arial" w:hAnsi="Arial"/>
          <w:color w:val="363636"/>
          <w:sz w:val="22"/>
          <w:szCs w:val="22"/>
        </w:rPr>
        <w:t xml:space="preserve">These must be resolved by the Teufel team before the page goes live. They affect specific elements — note the dependency for each.</w:t>
      </w:r>
    </w:p>
    <w:p>
      <w:pPr>
        <w:spacing w:after="100"/>
      </w:pPr>
    </w:p>
    <w:tbl>
      <w:tblPr>
        <w:tblW w:type="dxa" w:w="9840"/>
        <w:tblBorders>
          <w:top w:val="single" w:color="auto" w:sz="4"/>
          <w:left w:val="single" w:color="auto" w:sz="4"/>
          <w:bottom w:val="single" w:color="auto" w:sz="4"/>
          <w:right w:val="single" w:color="auto" w:sz="4"/>
          <w:insideH w:val="single" w:color="auto" w:sz="4"/>
          <w:insideV w:val="single" w:color="auto" w:sz="4"/>
        </w:tblBorders>
      </w:tblPr>
      <w:tblGrid>
        <w:gridCol w:w="300"/>
        <w:gridCol w:w="5400"/>
        <w:gridCol w:w="4140"/>
      </w:tblGrid>
      <w:tr>
        <w:trPr>
          <w:tblHeader/>
        </w:trPr>
        <w:tc>
          <w:tcPr>
            <w:tcW w:type="dxa" w:w="300"/>
            <w:tcBorders>
              <w:top w:val="single" w:color="0F6B72" w:sz="1"/>
              <w:left w:val="single" w:color="0F6B72" w:sz="1"/>
              <w:bottom w:val="single" w:color="0F6B72" w:sz="1"/>
              <w:right w:val="single" w:color="0F6B72" w:sz="1"/>
            </w:tcBorders>
            <w:shd w:fill="0F6B72" w:val="clear"/>
            <w:tcMar>
              <w:top w:type="dxa" w:w="100"/>
              <w:left w:type="dxa" w:w="140"/>
              <w:bottom w:type="dxa" w:w="100"/>
              <w:right w:type="dxa" w:w="140"/>
            </w:tcMar>
            <w:vAlign w:val="center"/>
          </w:tcPr>
          <w:p>
            <w:r>
              <w:rPr>
                <w:rFonts w:ascii="Arial" w:cs="Arial" w:eastAsia="Arial" w:hAnsi="Arial"/>
                <w:b/>
                <w:bCs/>
                <w:color w:val="FFFFFF"/>
                <w:sz w:val="19"/>
                <w:szCs w:val="19"/>
              </w:rPr>
              <w:t xml:space="preserve">#</w:t>
            </w:r>
          </w:p>
        </w:tc>
        <w:tc>
          <w:tcPr>
            <w:tcW w:type="dxa" w:w="5400"/>
            <w:tcBorders>
              <w:top w:val="single" w:color="0F6B72" w:sz="1"/>
              <w:left w:val="single" w:color="0F6B72" w:sz="1"/>
              <w:bottom w:val="single" w:color="0F6B72" w:sz="1"/>
              <w:right w:val="single" w:color="0F6B72" w:sz="1"/>
            </w:tcBorders>
            <w:shd w:fill="0F6B72" w:val="clear"/>
            <w:tcMar>
              <w:top w:type="dxa" w:w="100"/>
              <w:left w:type="dxa" w:w="140"/>
              <w:bottom w:type="dxa" w:w="100"/>
              <w:right w:type="dxa" w:w="140"/>
            </w:tcMar>
            <w:vAlign w:val="center"/>
          </w:tcPr>
          <w:p>
            <w:r>
              <w:rPr>
                <w:rFonts w:ascii="Arial" w:cs="Arial" w:eastAsia="Arial" w:hAnsi="Arial"/>
                <w:b/>
                <w:bCs/>
                <w:color w:val="FFFFFF"/>
                <w:sz w:val="19"/>
                <w:szCs w:val="19"/>
              </w:rPr>
              <w:t xml:space="preserve">Question</w:t>
            </w:r>
          </w:p>
        </w:tc>
        <w:tc>
          <w:tcPr>
            <w:tcW w:type="dxa" w:w="4140"/>
            <w:tcBorders>
              <w:top w:val="single" w:color="0F6B72" w:sz="1"/>
              <w:left w:val="single" w:color="0F6B72" w:sz="1"/>
              <w:bottom w:val="single" w:color="0F6B72" w:sz="1"/>
              <w:right w:val="single" w:color="0F6B72" w:sz="1"/>
            </w:tcBorders>
            <w:shd w:fill="0F6B72" w:val="clear"/>
            <w:tcMar>
              <w:top w:type="dxa" w:w="100"/>
              <w:left w:type="dxa" w:w="140"/>
              <w:bottom w:type="dxa" w:w="100"/>
              <w:right w:type="dxa" w:w="140"/>
            </w:tcMar>
            <w:vAlign w:val="center"/>
          </w:tcPr>
          <w:p>
            <w:r>
              <w:rPr>
                <w:rFonts w:ascii="Arial" w:cs="Arial" w:eastAsia="Arial" w:hAnsi="Arial"/>
                <w:b/>
                <w:bCs/>
                <w:color w:val="FFFFFF"/>
                <w:sz w:val="19"/>
                <w:szCs w:val="19"/>
              </w:rPr>
              <w:t xml:space="preserve">Affects</w:t>
            </w:r>
          </w:p>
        </w:tc>
      </w:tr>
      <w:tr>
        <w:tc>
          <w:tcPr>
            <w:tcW w:type="dxa" w:w="300"/>
            <w:tcBorders>
              <w:top w:val="single" w:color="D0D8D9" w:sz="1"/>
              <w:left w:val="single" w:color="D0D8D9" w:sz="1"/>
              <w:bottom w:val="single" w:color="D0D8D9" w:sz="1"/>
              <w:right w:val="single" w:color="D0D8D9" w:sz="1"/>
            </w:tcBorders>
            <w:shd w:fill="FFFFFF" w:val="clear"/>
            <w:tcMar>
              <w:top w:type="dxa" w:w="80"/>
              <w:left w:type="dxa" w:w="140"/>
              <w:bottom w:type="dxa" w:w="80"/>
              <w:right w:type="dxa" w:w="140"/>
            </w:tcMar>
          </w:tcPr>
          <w:p>
            <w:r>
              <w:rPr>
                <w:rFonts w:ascii="Arial" w:cs="Arial" w:eastAsia="Arial" w:hAnsi="Arial"/>
                <w:b/>
                <w:bCs/>
                <w:color w:val="1A1A1A"/>
                <w:sz w:val="19"/>
                <w:szCs w:val="19"/>
              </w:rPr>
              <w:t xml:space="preserve">Q1</w:t>
            </w:r>
          </w:p>
        </w:tc>
        <w:tc>
          <w:tcPr>
            <w:tcW w:type="dxa" w:w="5400"/>
            <w:tcBorders>
              <w:top w:val="single" w:color="D0D8D9" w:sz="1"/>
              <w:left w:val="single" w:color="D0D8D9" w:sz="1"/>
              <w:bottom w:val="single" w:color="D0D8D9" w:sz="1"/>
              <w:right w:val="single" w:color="D0D8D9" w:sz="1"/>
            </w:tcBorders>
            <w:shd w:fill="FFFFFF" w:val="clear"/>
            <w:tcMar>
              <w:top w:type="dxa" w:w="80"/>
              <w:left w:type="dxa" w:w="140"/>
              <w:bottom w:type="dxa" w:w="80"/>
              <w:right w:type="dxa" w:w="140"/>
            </w:tcMar>
          </w:tcPr>
          <w:p>
            <w:r>
              <w:rPr>
                <w:rFonts w:ascii="Arial" w:cs="Arial" w:eastAsia="Arial" w:hAnsi="Arial"/>
                <w:b w:val="false"/>
                <w:bCs w:val="false"/>
                <w:color w:val="363636"/>
                <w:sz w:val="19"/>
                <w:szCs w:val="19"/>
              </w:rPr>
              <w:t xml:space="preserve">What is the exact sale start and end date for this promotion?</w:t>
            </w:r>
          </w:p>
        </w:tc>
        <w:tc>
          <w:tcPr>
            <w:tcW w:type="dxa" w:w="4140"/>
            <w:tcBorders>
              <w:top w:val="single" w:color="D0D8D9" w:sz="1"/>
              <w:left w:val="single" w:color="D0D8D9" w:sz="1"/>
              <w:bottom w:val="single" w:color="D0D8D9" w:sz="1"/>
              <w:right w:val="single" w:color="D0D8D9" w:sz="1"/>
            </w:tcBorders>
            <w:shd w:fill="FFFFFF" w:val="clear"/>
            <w:tcMar>
              <w:top w:type="dxa" w:w="80"/>
              <w:left w:type="dxa" w:w="140"/>
              <w:bottom w:type="dxa" w:w="80"/>
              <w:right w:type="dxa" w:w="140"/>
            </w:tcMar>
          </w:tcPr>
          <w:p>
            <w:r>
              <w:rPr>
                <w:rFonts w:ascii="Arial" w:cs="Arial" w:eastAsia="Arial" w:hAnsi="Arial"/>
                <w:b w:val="false"/>
                <w:bCs w:val="false"/>
                <w:color w:val="363636"/>
                <w:sz w:val="19"/>
                <w:szCs w:val="19"/>
              </w:rPr>
              <w:t xml:space="preserve">Countdown timer. Sub-headline urgency copy ("nur bis [DATUM]"). SEO meta description.</w:t>
            </w:r>
          </w:p>
        </w:tc>
      </w:tr>
      <w:tr>
        <w:tc>
          <w:tcPr>
            <w:tcW w:type="dxa" w:w="300"/>
            <w:tcBorders>
              <w:top w:val="single" w:color="D0D8D9" w:sz="1"/>
              <w:left w:val="single" w:color="D0D8D9" w:sz="1"/>
              <w:bottom w:val="single" w:color="D0D8D9" w:sz="1"/>
              <w:right w:val="single" w:color="D0D8D9" w:sz="1"/>
            </w:tcBorders>
            <w:shd w:fill="F4F8F9" w:val="clear"/>
            <w:tcMar>
              <w:top w:type="dxa" w:w="80"/>
              <w:left w:type="dxa" w:w="140"/>
              <w:bottom w:type="dxa" w:w="80"/>
              <w:right w:type="dxa" w:w="140"/>
            </w:tcMar>
          </w:tcPr>
          <w:p>
            <w:r>
              <w:rPr>
                <w:rFonts w:ascii="Arial" w:cs="Arial" w:eastAsia="Arial" w:hAnsi="Arial"/>
                <w:b w:val="false"/>
                <w:bCs w:val="false"/>
                <w:color w:val="363636"/>
                <w:sz w:val="19"/>
                <w:szCs w:val="19"/>
              </w:rPr>
              <w:t xml:space="preserve">Q2</w:t>
            </w:r>
          </w:p>
        </w:tc>
        <w:tc>
          <w:tcPr>
            <w:tcW w:type="dxa" w:w="5400"/>
            <w:tcBorders>
              <w:top w:val="single" w:color="D0D8D9" w:sz="1"/>
              <w:left w:val="single" w:color="D0D8D9" w:sz="1"/>
              <w:bottom w:val="single" w:color="D0D8D9" w:sz="1"/>
              <w:right w:val="single" w:color="D0D8D9" w:sz="1"/>
            </w:tcBorders>
            <w:shd w:fill="F4F8F9" w:val="clear"/>
            <w:tcMar>
              <w:top w:type="dxa" w:w="80"/>
              <w:left w:type="dxa" w:w="140"/>
              <w:bottom w:type="dxa" w:w="80"/>
              <w:right w:type="dxa" w:w="140"/>
            </w:tcMar>
          </w:tcPr>
          <w:p>
            <w:r>
              <w:rPr>
                <w:rFonts w:ascii="Arial" w:cs="Arial" w:eastAsia="Arial" w:hAnsi="Arial"/>
                <w:b w:val="false"/>
                <w:bCs w:val="false"/>
                <w:color w:val="363636"/>
                <w:sz w:val="19"/>
                <w:szCs w:val="19"/>
              </w:rPr>
              <w:t xml:space="preserve">Which 3 models are featured? Recommended: CINEBAR ONE (entry, ~€199), CINEBAR 11 2.1-Set (mid, ~€329), CINEBAR ULTIMA (premium, ~€499). Is this correct?</w:t>
            </w:r>
          </w:p>
        </w:tc>
        <w:tc>
          <w:tcPr>
            <w:tcW w:type="dxa" w:w="4140"/>
            <w:tcBorders>
              <w:top w:val="single" w:color="D0D8D9" w:sz="1"/>
              <w:left w:val="single" w:color="D0D8D9" w:sz="1"/>
              <w:bottom w:val="single" w:color="D0D8D9" w:sz="1"/>
              <w:right w:val="single" w:color="D0D8D9" w:sz="1"/>
            </w:tcBorders>
            <w:shd w:fill="F4F8F9" w:val="clear"/>
            <w:tcMar>
              <w:top w:type="dxa" w:w="80"/>
              <w:left w:type="dxa" w:w="140"/>
              <w:bottom w:type="dxa" w:w="80"/>
              <w:right w:type="dxa" w:w="140"/>
            </w:tcMar>
          </w:tcPr>
          <w:p>
            <w:r>
              <w:rPr>
                <w:rFonts w:ascii="Arial" w:cs="Arial" w:eastAsia="Arial" w:hAnsi="Arial"/>
                <w:b w:val="false"/>
                <w:bCs w:val="false"/>
                <w:color w:val="363636"/>
                <w:sz w:val="19"/>
                <w:szCs w:val="19"/>
              </w:rPr>
              <w:t xml:space="preserve">Product lineup section. Price anchors. Model-specific feature copy. Comparison table.</w:t>
            </w:r>
          </w:p>
        </w:tc>
      </w:tr>
      <w:tr>
        <w:tc>
          <w:tcPr>
            <w:tcW w:type="dxa" w:w="300"/>
            <w:tcBorders>
              <w:top w:val="single" w:color="D0D8D9" w:sz="1"/>
              <w:left w:val="single" w:color="D0D8D9" w:sz="1"/>
              <w:bottom w:val="single" w:color="D0D8D9" w:sz="1"/>
              <w:right w:val="single" w:color="D0D8D9" w:sz="1"/>
            </w:tcBorders>
            <w:shd w:fill="FFFFFF" w:val="clear"/>
            <w:tcMar>
              <w:top w:type="dxa" w:w="80"/>
              <w:left w:type="dxa" w:w="140"/>
              <w:bottom w:type="dxa" w:w="80"/>
              <w:right w:type="dxa" w:w="140"/>
            </w:tcMar>
          </w:tcPr>
          <w:p>
            <w:r>
              <w:rPr>
                <w:rFonts w:ascii="Arial" w:cs="Arial" w:eastAsia="Arial" w:hAnsi="Arial"/>
                <w:b/>
                <w:bCs/>
                <w:color w:val="1A1A1A"/>
                <w:sz w:val="19"/>
                <w:szCs w:val="19"/>
              </w:rPr>
              <w:t xml:space="preserve">Q3</w:t>
            </w:r>
          </w:p>
        </w:tc>
        <w:tc>
          <w:tcPr>
            <w:tcW w:type="dxa" w:w="5400"/>
            <w:tcBorders>
              <w:top w:val="single" w:color="D0D8D9" w:sz="1"/>
              <w:left w:val="single" w:color="D0D8D9" w:sz="1"/>
              <w:bottom w:val="single" w:color="D0D8D9" w:sz="1"/>
              <w:right w:val="single" w:color="D0D8D9" w:sz="1"/>
            </w:tcBorders>
            <w:shd w:fill="FFFFFF" w:val="clear"/>
            <w:tcMar>
              <w:top w:type="dxa" w:w="80"/>
              <w:left w:type="dxa" w:w="140"/>
              <w:bottom w:type="dxa" w:w="80"/>
              <w:right w:type="dxa" w:w="140"/>
            </w:tcMar>
          </w:tcPr>
          <w:p>
            <w:r>
              <w:rPr>
                <w:rFonts w:ascii="Arial" w:cs="Arial" w:eastAsia="Arial" w:hAnsi="Arial"/>
                <w:b w:val="false"/>
                <w:bCs w:val="false"/>
                <w:color w:val="363636"/>
                <w:sz w:val="19"/>
                <w:szCs w:val="19"/>
              </w:rPr>
              <w:t xml:space="preserve">Are the Stiftung Warentest and CHIP awards current for the featured models? (Cinebar 11: GUT 2.4 from August 2021 — is this still the relevant score?)</w:t>
            </w:r>
          </w:p>
        </w:tc>
        <w:tc>
          <w:tcPr>
            <w:tcW w:type="dxa" w:w="4140"/>
            <w:tcBorders>
              <w:top w:val="single" w:color="D0D8D9" w:sz="1"/>
              <w:left w:val="single" w:color="D0D8D9" w:sz="1"/>
              <w:bottom w:val="single" w:color="D0D8D9" w:sz="1"/>
              <w:right w:val="single" w:color="D0D8D9" w:sz="1"/>
            </w:tcBorders>
            <w:shd w:fill="FFFFFF" w:val="clear"/>
            <w:tcMar>
              <w:top w:type="dxa" w:w="80"/>
              <w:left w:type="dxa" w:w="140"/>
              <w:bottom w:type="dxa" w:w="80"/>
              <w:right w:type="dxa" w:w="140"/>
            </w:tcMar>
          </w:tcPr>
          <w:p>
            <w:r>
              <w:rPr>
                <w:rFonts w:ascii="Arial" w:cs="Arial" w:eastAsia="Arial" w:hAnsi="Arial"/>
                <w:b w:val="false"/>
                <w:bCs w:val="false"/>
                <w:color w:val="363636"/>
                <w:sz w:val="19"/>
                <w:szCs w:val="19"/>
              </w:rPr>
              <w:t xml:space="preserve">Trust bar. Editorial validation section. Competitive comparison table. Legal compliance for award display.</w:t>
            </w:r>
          </w:p>
        </w:tc>
      </w:tr>
      <w:tr>
        <w:tc>
          <w:tcPr>
            <w:tcW w:type="dxa" w:w="300"/>
            <w:tcBorders>
              <w:top w:val="single" w:color="D0D8D9" w:sz="1"/>
              <w:left w:val="single" w:color="D0D8D9" w:sz="1"/>
              <w:bottom w:val="single" w:color="D0D8D9" w:sz="1"/>
              <w:right w:val="single" w:color="D0D8D9" w:sz="1"/>
            </w:tcBorders>
            <w:shd w:fill="F4F8F9" w:val="clear"/>
            <w:tcMar>
              <w:top w:type="dxa" w:w="80"/>
              <w:left w:type="dxa" w:w="140"/>
              <w:bottom w:type="dxa" w:w="80"/>
              <w:right w:type="dxa" w:w="140"/>
            </w:tcMar>
          </w:tcPr>
          <w:p>
            <w:r>
              <w:rPr>
                <w:rFonts w:ascii="Arial" w:cs="Arial" w:eastAsia="Arial" w:hAnsi="Arial"/>
                <w:b/>
                <w:bCs/>
                <w:color w:val="1A1A1A"/>
                <w:sz w:val="19"/>
                <w:szCs w:val="19"/>
              </w:rPr>
              <w:t xml:space="preserve">Q4</w:t>
            </w:r>
          </w:p>
        </w:tc>
        <w:tc>
          <w:tcPr>
            <w:tcW w:type="dxa" w:w="5400"/>
            <w:tcBorders>
              <w:top w:val="single" w:color="D0D8D9" w:sz="1"/>
              <w:left w:val="single" w:color="D0D8D9" w:sz="1"/>
              <w:bottom w:val="single" w:color="D0D8D9" w:sz="1"/>
              <w:right w:val="single" w:color="D0D8D9" w:sz="1"/>
            </w:tcBorders>
            <w:shd w:fill="F4F8F9" w:val="clear"/>
            <w:tcMar>
              <w:top w:type="dxa" w:w="80"/>
              <w:left w:type="dxa" w:w="140"/>
              <w:bottom w:type="dxa" w:w="80"/>
              <w:right w:type="dxa" w:w="140"/>
            </w:tcMar>
          </w:tcPr>
          <w:p>
            <w:r>
              <w:rPr>
                <w:rFonts w:ascii="Arial" w:cs="Arial" w:eastAsia="Arial" w:hAnsi="Arial"/>
                <w:b w:val="false"/>
                <w:bCs w:val="false"/>
                <w:color w:val="363636"/>
                <w:sz w:val="19"/>
                <w:szCs w:val="19"/>
              </w:rPr>
              <w:t xml:space="preserve">Can "0% Finanzierung" appear in the hero headline or trust bar, or does German financial promotion law require specific qualifying language?</w:t>
            </w:r>
          </w:p>
        </w:tc>
        <w:tc>
          <w:tcPr>
            <w:tcW w:type="dxa" w:w="4140"/>
            <w:tcBorders>
              <w:top w:val="single" w:color="D0D8D9" w:sz="1"/>
              <w:left w:val="single" w:color="D0D8D9" w:sz="1"/>
              <w:bottom w:val="single" w:color="D0D8D9" w:sz="1"/>
              <w:right w:val="single" w:color="D0D8D9" w:sz="1"/>
            </w:tcBorders>
            <w:shd w:fill="F4F8F9" w:val="clear"/>
            <w:tcMar>
              <w:top w:type="dxa" w:w="80"/>
              <w:left w:type="dxa" w:w="140"/>
              <w:bottom w:type="dxa" w:w="80"/>
              <w:right w:type="dxa" w:w="140"/>
            </w:tcMar>
          </w:tcPr>
          <w:p>
            <w:r>
              <w:rPr>
                <w:rFonts w:ascii="Arial" w:cs="Arial" w:eastAsia="Arial" w:hAnsi="Arial"/>
                <w:b w:val="false"/>
                <w:bCs w:val="false"/>
                <w:color w:val="363636"/>
                <w:sz w:val="19"/>
                <w:szCs w:val="19"/>
              </w:rPr>
              <w:t xml:space="preserve">Hero sub-headline. Product card financing line. Trust bar payment copy.</w:t>
            </w:r>
          </w:p>
        </w:tc>
      </w:tr>
      <w:tr>
        <w:tc>
          <w:tcPr>
            <w:tcW w:type="dxa" w:w="300"/>
            <w:tcBorders>
              <w:top w:val="single" w:color="D0D8D9" w:sz="1"/>
              <w:left w:val="single" w:color="D0D8D9" w:sz="1"/>
              <w:bottom w:val="single" w:color="D0D8D9" w:sz="1"/>
              <w:right w:val="single" w:color="D0D8D9" w:sz="1"/>
            </w:tcBorders>
            <w:shd w:fill="FFFFFF" w:val="clear"/>
            <w:tcMar>
              <w:top w:type="dxa" w:w="80"/>
              <w:left w:type="dxa" w:w="140"/>
              <w:bottom w:type="dxa" w:w="80"/>
              <w:right w:type="dxa" w:w="140"/>
            </w:tcMar>
          </w:tcPr>
          <w:p>
            <w:r>
              <w:rPr>
                <w:rFonts w:ascii="Arial" w:cs="Arial" w:eastAsia="Arial" w:hAnsi="Arial"/>
                <w:b/>
                <w:bCs/>
                <w:color w:val="1A1A1A"/>
                <w:sz w:val="19"/>
                <w:szCs w:val="19"/>
              </w:rPr>
              <w:t xml:space="preserve">Q5</w:t>
            </w:r>
          </w:p>
        </w:tc>
        <w:tc>
          <w:tcPr>
            <w:tcW w:type="dxa" w:w="5400"/>
            <w:tcBorders>
              <w:top w:val="single" w:color="D0D8D9" w:sz="1"/>
              <w:left w:val="single" w:color="D0D8D9" w:sz="1"/>
              <w:bottom w:val="single" w:color="D0D8D9" w:sz="1"/>
              <w:right w:val="single" w:color="D0D8D9" w:sz="1"/>
            </w:tcBorders>
            <w:shd w:fill="FFFFFF" w:val="clear"/>
            <w:tcMar>
              <w:top w:type="dxa" w:w="80"/>
              <w:left w:type="dxa" w:w="140"/>
              <w:bottom w:type="dxa" w:w="80"/>
              <w:right w:type="dxa" w:w="140"/>
            </w:tcMar>
          </w:tcPr>
          <w:p>
            <w:r>
              <w:rPr>
                <w:rFonts w:ascii="Arial" w:cs="Arial" w:eastAsia="Arial" w:hAnsi="Arial"/>
                <w:b w:val="false"/>
                <w:bCs w:val="false"/>
                <w:color w:val="363636"/>
                <w:sz w:val="19"/>
                <w:szCs w:val="19"/>
              </w:rPr>
              <w:t xml:space="preserve">What is the current Trustpilot score and total review count to display?</w:t>
            </w:r>
          </w:p>
        </w:tc>
        <w:tc>
          <w:tcPr>
            <w:tcW w:type="dxa" w:w="4140"/>
            <w:tcBorders>
              <w:top w:val="single" w:color="D0D8D9" w:sz="1"/>
              <w:left w:val="single" w:color="D0D8D9" w:sz="1"/>
              <w:bottom w:val="single" w:color="D0D8D9" w:sz="1"/>
              <w:right w:val="single" w:color="D0D8D9" w:sz="1"/>
            </w:tcBorders>
            <w:shd w:fill="FFFFFF" w:val="clear"/>
            <w:tcMar>
              <w:top w:type="dxa" w:w="80"/>
              <w:left w:type="dxa" w:w="140"/>
              <w:bottom w:type="dxa" w:w="80"/>
              <w:right w:type="dxa" w:w="140"/>
            </w:tcMar>
          </w:tcPr>
          <w:p>
            <w:r>
              <w:rPr>
                <w:rFonts w:ascii="Arial" w:cs="Arial" w:eastAsia="Arial" w:hAnsi="Arial"/>
                <w:b w:val="false"/>
                <w:bCs w:val="false"/>
                <w:color w:val="363636"/>
                <w:sz w:val="19"/>
                <w:szCs w:val="19"/>
              </w:rPr>
              <w:t xml:space="preserve">Trust bar. Review section header. Hero social proof.</w:t>
            </w:r>
          </w:p>
        </w:tc>
      </w:tr>
      <w:tr>
        <w:tc>
          <w:tcPr>
            <w:tcW w:type="dxa" w:w="300"/>
            <w:tcBorders>
              <w:top w:val="single" w:color="D0D8D9" w:sz="1"/>
              <w:left w:val="single" w:color="D0D8D9" w:sz="1"/>
              <w:bottom w:val="single" w:color="D0D8D9" w:sz="1"/>
              <w:right w:val="single" w:color="D0D8D9" w:sz="1"/>
            </w:tcBorders>
            <w:shd w:fill="F4F8F9" w:val="clear"/>
            <w:tcMar>
              <w:top w:type="dxa" w:w="80"/>
              <w:left w:type="dxa" w:w="140"/>
              <w:bottom w:type="dxa" w:w="80"/>
              <w:right w:type="dxa" w:w="140"/>
            </w:tcMar>
          </w:tcPr>
          <w:p>
            <w:r>
              <w:rPr>
                <w:rFonts w:ascii="Arial" w:cs="Arial" w:eastAsia="Arial" w:hAnsi="Arial"/>
                <w:b/>
                <w:bCs/>
                <w:color w:val="1A1A1A"/>
                <w:sz w:val="19"/>
                <w:szCs w:val="19"/>
              </w:rPr>
              <w:t xml:space="preserve">Q6</w:t>
            </w:r>
          </w:p>
        </w:tc>
        <w:tc>
          <w:tcPr>
            <w:tcW w:type="dxa" w:w="5400"/>
            <w:tcBorders>
              <w:top w:val="single" w:color="D0D8D9" w:sz="1"/>
              <w:left w:val="single" w:color="D0D8D9" w:sz="1"/>
              <w:bottom w:val="single" w:color="D0D8D9" w:sz="1"/>
              <w:right w:val="single" w:color="D0D8D9" w:sz="1"/>
            </w:tcBorders>
            <w:shd w:fill="F4F8F9" w:val="clear"/>
            <w:tcMar>
              <w:top w:type="dxa" w:w="80"/>
              <w:left w:type="dxa" w:w="140"/>
              <w:bottom w:type="dxa" w:w="80"/>
              <w:right w:type="dxa" w:w="140"/>
            </w:tcMar>
          </w:tcPr>
          <w:p>
            <w:r>
              <w:rPr>
                <w:rFonts w:ascii="Arial" w:cs="Arial" w:eastAsia="Arial" w:hAnsi="Arial"/>
                <w:b w:val="false"/>
                <w:bCs w:val="false"/>
                <w:color w:val="363636"/>
                <w:sz w:val="19"/>
                <w:szCs w:val="19"/>
              </w:rPr>
              <w:t xml:space="preserve">What is Teufel's actual return window (30 days? More?) — this should be prominent, especially compared to Bose's 90-day window.</w:t>
            </w:r>
          </w:p>
        </w:tc>
        <w:tc>
          <w:tcPr>
            <w:tcW w:type="dxa" w:w="4140"/>
            <w:tcBorders>
              <w:top w:val="single" w:color="D0D8D9" w:sz="1"/>
              <w:left w:val="single" w:color="D0D8D9" w:sz="1"/>
              <w:bottom w:val="single" w:color="D0D8D9" w:sz="1"/>
              <w:right w:val="single" w:color="D0D8D9" w:sz="1"/>
            </w:tcBorders>
            <w:shd w:fill="F4F8F9" w:val="clear"/>
            <w:tcMar>
              <w:top w:type="dxa" w:w="80"/>
              <w:left w:type="dxa" w:w="140"/>
              <w:bottom w:type="dxa" w:w="80"/>
              <w:right w:type="dxa" w:w="140"/>
            </w:tcMar>
          </w:tcPr>
          <w:p>
            <w:r>
              <w:rPr>
                <w:rFonts w:ascii="Arial" w:cs="Arial" w:eastAsia="Arial" w:hAnsi="Arial"/>
                <w:b w:val="false"/>
                <w:bCs w:val="false"/>
                <w:color w:val="363636"/>
                <w:sz w:val="19"/>
                <w:szCs w:val="19"/>
              </w:rPr>
              <w:t xml:space="preserve">Trust bar. FAQ answer. Competitor comparison table. CTA close copy.</w:t>
            </w:r>
          </w:p>
        </w:tc>
      </w:tr>
      <w:tr>
        <w:tc>
          <w:tcPr>
            <w:tcW w:type="dxa" w:w="300"/>
            <w:tcBorders>
              <w:top w:val="single" w:color="D0D8D9" w:sz="1"/>
              <w:left w:val="single" w:color="D0D8D9" w:sz="1"/>
              <w:bottom w:val="single" w:color="D0D8D9" w:sz="1"/>
              <w:right w:val="single" w:color="D0D8D9" w:sz="1"/>
            </w:tcBorders>
            <w:shd w:fill="FFFFFF" w:val="clear"/>
            <w:tcMar>
              <w:top w:type="dxa" w:w="80"/>
              <w:left w:type="dxa" w:w="140"/>
              <w:bottom w:type="dxa" w:w="80"/>
              <w:right w:type="dxa" w:w="140"/>
            </w:tcMar>
          </w:tcPr>
          <w:p>
            <w:r>
              <w:rPr>
                <w:rFonts w:ascii="Arial" w:cs="Arial" w:eastAsia="Arial" w:hAnsi="Arial"/>
                <w:b/>
                <w:bCs/>
                <w:color w:val="1A1A1A"/>
                <w:sz w:val="19"/>
                <w:szCs w:val="19"/>
              </w:rPr>
              <w:t xml:space="preserve">Q7</w:t>
            </w:r>
          </w:p>
        </w:tc>
        <w:tc>
          <w:tcPr>
            <w:tcW w:type="dxa" w:w="5400"/>
            <w:tcBorders>
              <w:top w:val="single" w:color="D0D8D9" w:sz="1"/>
              <w:left w:val="single" w:color="D0D8D9" w:sz="1"/>
              <w:bottom w:val="single" w:color="D0D8D9" w:sz="1"/>
              <w:right w:val="single" w:color="D0D8D9" w:sz="1"/>
            </w:tcBorders>
            <w:shd w:fill="FFFFFF" w:val="clear"/>
            <w:tcMar>
              <w:top w:type="dxa" w:w="80"/>
              <w:left w:type="dxa" w:w="140"/>
              <w:bottom w:type="dxa" w:w="80"/>
              <w:right w:type="dxa" w:w="140"/>
            </w:tcMar>
          </w:tcPr>
          <w:p>
            <w:r>
              <w:rPr>
                <w:rFonts w:ascii="Arial" w:cs="Arial" w:eastAsia="Arial" w:hAnsi="Arial"/>
                <w:b w:val="false"/>
                <w:bCs w:val="false"/>
                <w:color w:val="363636"/>
                <w:sz w:val="19"/>
                <w:szCs w:val="19"/>
              </w:rPr>
              <w:t xml:space="preserve">DACH scope: is this one LP for DE/AT/CH or separate pages? AT/CH may need different pricing, VAT display, and trust signals.</w:t>
            </w:r>
          </w:p>
        </w:tc>
        <w:tc>
          <w:tcPr>
            <w:tcW w:type="dxa" w:w="4140"/>
            <w:tcBorders>
              <w:top w:val="single" w:color="D0D8D9" w:sz="1"/>
              <w:left w:val="single" w:color="D0D8D9" w:sz="1"/>
              <w:bottom w:val="single" w:color="D0D8D9" w:sz="1"/>
              <w:right w:val="single" w:color="D0D8D9" w:sz="1"/>
            </w:tcBorders>
            <w:shd w:fill="FFFFFF" w:val="clear"/>
            <w:tcMar>
              <w:top w:type="dxa" w:w="80"/>
              <w:left w:type="dxa" w:w="140"/>
              <w:bottom w:type="dxa" w:w="80"/>
              <w:right w:type="dxa" w:w="140"/>
            </w:tcMar>
          </w:tcPr>
          <w:p>
            <w:r>
              <w:rPr>
                <w:rFonts w:ascii="Arial" w:cs="Arial" w:eastAsia="Arial" w:hAnsi="Arial"/>
                <w:b w:val="false"/>
                <w:bCs w:val="false"/>
                <w:color w:val="363636"/>
                <w:sz w:val="19"/>
                <w:szCs w:val="19"/>
              </w:rPr>
              <w:t xml:space="preserve">URL structure. Pricing localisation. Payment options (PostFinance for CH). Legal footer.</w:t>
            </w:r>
          </w:p>
        </w:tc>
      </w:tr>
    </w:tbl>
    <w:p>
      <w:pPr>
        <w:spacing w:after="320"/>
      </w:pPr>
    </w:p>
    <w:p>
      <w:r>
        <w:br w:type="page"/>
      </w:r>
    </w:p>
    <w:p>
      <w:pPr>
        <w:pStyle w:val="Heading1"/>
        <w:spacing w:before="600" w:after="200"/>
      </w:pPr>
      <w:r>
        <w:rPr>
          <w:rFonts w:ascii="Arial Black" w:cs="Arial Black" w:eastAsia="Arial Black" w:hAnsi="Arial Black"/>
          <w:b/>
          <w:bCs/>
          <w:color w:val="0A4A4E"/>
          <w:sz w:val="36"/>
          <w:szCs w:val="36"/>
        </w:rPr>
        <w:t xml:space="preserve">My Take</w:t>
      </w:r>
    </w:p>
    <w:p>
      <w:pPr>
        <w:pBdr>
          <w:left w:val="single" w:color="0F6B72" w:sz="18" w:space="8"/>
        </w:pBdr>
        <w:spacing w:before="280" w:after="280"/>
        <w:ind w:left="600"/>
      </w:pPr>
      <w:r>
        <w:rPr>
          <w:rFonts w:ascii="Arial" w:cs="Arial" w:eastAsia="Arial" w:hAnsi="Arial"/>
          <w:i/>
          <w:iCs/>
          <w:color w:val="363636"/>
          <w:sz w:val="24"/>
          <w:szCs w:val="24"/>
        </w:rPr>
        <w:t xml:space="preserve">Teufel has a genuine competitive advantage in DACH — value positioning, German provenance, and editorial awards — but the current sale page buries all three. A dedicated seasonal LP fixes that in one build.</w:t>
      </w:r>
    </w:p>
    <w:p>
      <w:pPr>
        <w:spacing w:after="120"/>
      </w:pPr>
    </w:p>
    <w:p>
      <w:pPr>
        <w:spacing w:before="60" w:after="120" w:line="276"/>
      </w:pPr>
      <w:r>
        <w:rPr>
          <w:rFonts w:ascii="Arial" w:cs="Arial" w:eastAsia="Arial" w:hAnsi="Arial"/>
          <w:color w:val="363636"/>
          <w:sz w:val="22"/>
          <w:szCs w:val="22"/>
        </w:rPr>
        <w:t xml:space="preserve">The core opportunity is not discount depth. JBL and Bose offer comparable or greater discounts. Teufel's advantage is its origin story: the only German brand in the comparison set, built for 45 years on the proposition that direct manufacturing equals better value. That argument doesn't exist anywhere on the current sale page.</w:t>
      </w:r>
    </w:p>
    <w:p>
      <w:pPr>
        <w:spacing w:after="80"/>
      </w:pPr>
    </w:p>
    <w:p>
      <w:pPr>
        <w:spacing w:before="60" w:after="120" w:line="276"/>
      </w:pPr>
      <w:r>
        <w:rPr>
          <w:rFonts w:ascii="Arial" w:cs="Arial" w:eastAsia="Arial" w:hAnsi="Arial"/>
          <w:color w:val="363636"/>
          <w:sz w:val="22"/>
          <w:szCs w:val="22"/>
        </w:rPr>
        <w:t xml:space="preserve">The competitor teardown shows Bose winning on urgency mechanics and returns confidence, Sonos winning on comparison UX and bundle architecture. Teufel can beat both on value transparency and German authenticity — but only if the page makes those arguments explicitly rather than assuming buyers will do the research themselves.</w:t>
      </w:r>
    </w:p>
    <w:p>
      <w:pPr>
        <w:spacing w:after="80"/>
      </w:pPr>
    </w:p>
    <w:p>
      <w:pPr>
        <w:spacing w:before="60" w:after="120" w:line="276"/>
      </w:pPr>
      <w:r>
        <w:rPr>
          <w:rFonts w:ascii="Arial" w:cs="Arial" w:eastAsia="Arial" w:hAnsi="Arial"/>
          <w:color w:val="363636"/>
          <w:sz w:val="22"/>
          <w:szCs w:val="22"/>
        </w:rPr>
        <w:t xml:space="preserve">The single highest-ROI change: add the Stiftung Warentest badge and the 5-element trust bar to the hero. That alone addresses three of the six conversion-killing objections without a line of product copy changed.</w:t>
      </w:r>
    </w:p>
    <w:p>
      <w:pPr>
        <w:spacing w:after="160"/>
      </w:pPr>
    </w:p>
    <w:p>
      <w:pPr>
        <w:pStyle w:val="Heading2"/>
        <w:spacing w:before="320" w:after="140"/>
      </w:pPr>
      <w:r>
        <w:rPr>
          <w:rFonts w:ascii="Arial Black" w:cs="Arial Black" w:eastAsia="Arial Black" w:hAnsi="Arial Black"/>
          <w:b/>
          <w:bCs/>
          <w:color w:val="1A1A1A"/>
          <w:sz w:val="28"/>
          <w:szCs w:val="28"/>
        </w:rPr>
        <w:t xml:space="preserve">Data Confidence Summary</w:t>
      </w:r>
    </w:p>
    <w:p>
      <w:pPr>
        <w:spacing w:before="60" w:after="120" w:line="276"/>
      </w:pPr>
      <w:r>
        <w:rPr>
          <w:rFonts w:ascii="Arial" w:cs="Arial" w:eastAsia="Arial" w:hAnsi="Arial"/>
          <w:color w:val="363636"/>
          <w:sz w:val="22"/>
          <w:szCs w:val="22"/>
        </w:rPr>
        <w:t xml:space="preserve">[HIGH] Consumer purchase priorities — Statista Consumer Insights, Germany 2025, n≈8,000. Robust sample, direct question match.</w:t>
      </w:r>
    </w:p>
    <w:p>
      <w:pPr>
        <w:spacing w:before="60" w:after="120" w:line="276"/>
      </w:pPr>
      <w:r>
        <w:rPr>
          <w:rFonts w:ascii="Arial" w:cs="Arial" w:eastAsia="Arial" w:hAnsi="Arial"/>
          <w:color w:val="363636"/>
          <w:sz w:val="22"/>
          <w:szCs w:val="22"/>
        </w:rPr>
        <w:t xml:space="preserve">[HIGH] Brand trust criteria — Edelman/Statista, Germany April 2024. N not published but Edelman surveys are large-sample.</w:t>
      </w:r>
    </w:p>
    <w:p>
      <w:pPr>
        <w:spacing w:before="60" w:after="120" w:line="276"/>
      </w:pPr>
      <w:r>
        <w:rPr>
          <w:rFonts w:ascii="Arial" w:cs="Arial" w:eastAsia="Arial" w:hAnsi="Arial"/>
          <w:color w:val="363636"/>
          <w:sz w:val="22"/>
          <w:szCs w:val="22"/>
        </w:rPr>
        <w:t xml:space="preserve">[MEDIUM] DACH SERP analysis and keyword volumes — DataForSEO DE market, current. DataForSEO volumes carry ±10–20% variance.</w:t>
      </w:r>
    </w:p>
    <w:p>
      <w:pPr>
        <w:spacing w:before="60" w:after="120" w:line="276"/>
      </w:pPr>
      <w:r>
        <w:rPr>
          <w:rFonts w:ascii="Arial" w:cs="Arial" w:eastAsia="Arial" w:hAnsi="Arial"/>
          <w:color w:val="363636"/>
          <w:sz w:val="22"/>
          <w:szCs w:val="22"/>
        </w:rPr>
        <w:t xml:space="preserve">[MEDIUM] Competitor page analysis — live WebFetch captures June 2026. Active sale periods observed; Bose/Sonos/Teufel pages verified. Samsung 404 on category page — data from search results. JBL 403 blocked — data from SEO research.</w:t>
      </w:r>
    </w:p>
    <w:p>
      <w:pPr>
        <w:spacing w:before="60" w:after="120" w:line="276"/>
      </w:pPr>
      <w:r>
        <w:rPr>
          <w:rFonts w:ascii="Arial" w:cs="Arial" w:eastAsia="Arial" w:hAnsi="Arial"/>
          <w:color w:val="363636"/>
          <w:sz w:val="22"/>
          <w:szCs w:val="22"/>
        </w:rPr>
        <w:t xml:space="preserve">[LOW] AT/CH specific behaviour — DE data extrapolated. Separate research recommended before AT/CH-specific LP.</w:t>
      </w:r>
    </w:p>
    <w:p>
      <w:pPr>
        <w:spacing w:after="320"/>
      </w:pPr>
    </w:p>
    <w:p>
      <w:pPr>
        <w:pStyle w:val="Heading1"/>
        <w:spacing w:before="600" w:after="200"/>
      </w:pPr>
      <w:r>
        <w:rPr>
          <w:rFonts w:ascii="Arial Black" w:cs="Arial Black" w:eastAsia="Arial Black" w:hAnsi="Arial Black"/>
          <w:b/>
          <w:bCs/>
          <w:color w:val="0A4A4E"/>
          <w:sz w:val="36"/>
          <w:szCs w:val="36"/>
        </w:rPr>
        <w:t xml:space="preserve">Sources</w:t>
      </w:r>
    </w:p>
    <w:p>
      <w:pPr>
        <w:spacing w:before="60" w:after="120" w:line="276"/>
      </w:pPr>
      <w:r>
        <w:rPr>
          <w:rFonts w:ascii="Arial" w:cs="Arial" w:eastAsia="Arial" w:hAnsi="Arial"/>
          <w:color w:val="363636"/>
          <w:sz w:val="22"/>
          <w:szCs w:val="22"/>
        </w:rPr>
        <w:t xml:space="preserve">[1] "Consumers preferences when buying electronics online in Germany 2025" | statista://chart/1622920 | "51% low prices, 47% free delivery, 46% warranty — Germany, 2025, n≈8,000" (2025)</w:t>
      </w:r>
    </w:p>
    <w:p>
      <w:pPr>
        <w:spacing w:before="60" w:after="120" w:line="276"/>
      </w:pPr>
      <w:r>
        <w:rPr>
          <w:rFonts w:ascii="Arial" w:cs="Arial" w:eastAsia="Arial" w:hAnsi="Arial"/>
          <w:color w:val="363636"/>
          <w:sz w:val="22"/>
          <w:szCs w:val="22"/>
        </w:rPr>
        <w:t xml:space="preserve">[2] "Brand purchase criteria according to consumers in Germany as of April 2024" | statista://chart/1482235 | "Good value 87%, best quality 86%, trust 80%, HQ in country 66%" — Edelman/Statista (April 2024)</w:t>
      </w:r>
    </w:p>
    <w:p>
      <w:pPr>
        <w:spacing w:before="60" w:after="120" w:line="276"/>
      </w:pPr>
      <w:r>
        <w:rPr>
          <w:rFonts w:ascii="Arial" w:cs="Arial" w:eastAsia="Arial" w:hAnsi="Arial"/>
          <w:color w:val="363636"/>
          <w:sz w:val="22"/>
          <w:szCs w:val="22"/>
        </w:rPr>
        <w:t xml:space="preserve">[3] "Revenue — Speakers (eCommerce market), DACH" | statista://mi/369d3225 | "DE online speakers: USD 217.6M 2024; DACH: USD 250.3M 2024" — Statista Market Insights (2024)</w:t>
      </w:r>
    </w:p>
    <w:p>
      <w:pPr>
        <w:spacing w:before="60" w:after="120" w:line="276"/>
      </w:pPr>
      <w:r>
        <w:rPr>
          <w:rFonts w:ascii="Arial" w:cs="Arial" w:eastAsia="Arial" w:hAnsi="Arial"/>
          <w:color w:val="363636"/>
          <w:sz w:val="22"/>
          <w:szCs w:val="22"/>
        </w:rPr>
        <w:t xml:space="preserve">[4] "Revenue from consumer electronics in home audio segment, Germany, 2024" | statista://chart/462840 | "Speakers (incl. soundbars) EUR 373M in 2024, down from EUR 509M peak 2020" — GfK/GUK (2024)</w:t>
      </w:r>
    </w:p>
    <w:p>
      <w:pPr>
        <w:spacing w:before="60" w:after="120" w:line="276"/>
      </w:pPr>
      <w:r>
        <w:rPr>
          <w:rFonts w:ascii="Arial" w:cs="Arial" w:eastAsia="Arial" w:hAnsi="Arial"/>
          <w:color w:val="363636"/>
          <w:sz w:val="22"/>
          <w:szCs w:val="22"/>
        </w:rPr>
        <w:t xml:space="preserve">[5] "DACH Soundbar SEO Intelligence Brief" | file://raw_data/research_summary.md | "DataForSEO DE keyword analysis: soundbar kaufen 390/mo, soundbar angebot 480/mo, teufel vs sonos ~45/mo" (June 2026)</w:t>
      </w:r>
    </w:p>
    <w:p>
      <w:pPr>
        <w:spacing w:before="60" w:after="120" w:line="276"/>
      </w:pPr>
      <w:r>
        <w:rPr>
          <w:rFonts w:ascii="Arial" w:cs="Arial" w:eastAsia="Arial" w:hAnsi="Arial"/>
          <w:color w:val="363636"/>
          <w:sz w:val="22"/>
          <w:szCs w:val="22"/>
        </w:rPr>
        <w:t xml:space="preserve">[6] GWI Spark | gwi://dataset/ds-core | "Soundbar/speaker owners Germany: 66% male (Index 132), Gen Z Index 166, reviews trust Index 150, deal-seekers Index 127. Q2 2025–Q1 2026, GWI Core DE panel." (2026)</w:t>
      </w:r>
    </w:p>
    <w:p>
      <w:pPr>
        <w:spacing w:before="60" w:after="120" w:line="276"/>
      </w:pPr>
      <w:r>
        <w:rPr>
          <w:rFonts w:ascii="Arial" w:cs="Arial" w:eastAsia="Arial" w:hAnsi="Arial"/>
          <w:color w:val="363636"/>
          <w:sz w:val="22"/>
          <w:szCs w:val="22"/>
        </w:rPr>
        <w:t xml:space="preserve">[7] Teufel.de sale page analysis | https://teufel.de/sale | "Three-tier price display, 0% financing via PayPal/Alma, Sound Days sale mechanics" — live WebFetch (June 2026)</w:t>
      </w:r>
    </w:p>
    <w:p>
      <w:pPr>
        <w:spacing w:before="60" w:after="120" w:line="276"/>
      </w:pPr>
      <w:r>
        <w:rPr>
          <w:rFonts w:ascii="Arial" w:cs="Arial" w:eastAsia="Arial" w:hAnsi="Arial"/>
          <w:color w:val="363636"/>
          <w:sz w:val="22"/>
          <w:szCs w:val="22"/>
        </w:rPr>
        <w:t xml:space="preserve">[8] Bose.de soundbar page analysis | https://www.bose.de | "Summer Flash Sale, NUR 4 TAGE countdown, 90-Tage-Rückgabefrist, code FLASH for 30% extra" — live WebFetch (June 2026)</w:t>
      </w:r>
    </w:p>
    <w:p>
      <w:pPr>
        <w:spacing w:before="60" w:after="120" w:line="276"/>
      </w:pPr>
      <w:r>
        <w:rPr>
          <w:rFonts w:ascii="Arial" w:cs="Arial" w:eastAsia="Arial" w:hAnsi="Arial"/>
          <w:color w:val="363636"/>
          <w:sz w:val="22"/>
          <w:szCs w:val="22"/>
        </w:rPr>
        <w:t xml:space="preserve">[9] Sonos.de soundbar page analysis | https://www.sonos.com/de-de/shop/soundbars | "Bundle-first (18 sets), comparison UX, Spare 24%, Letzte Chance labels" — live WebFetch (June 2026)</w:t>
      </w:r>
    </w:p>
    <w:p>
      <w:pPr>
        <w:spacing w:before="60" w:after="120" w:line="276"/>
      </w:pPr>
      <w:r>
        <w:rPr>
          <w:rFonts w:ascii="Arial" w:cs="Arial" w:eastAsia="Arial" w:hAnsi="Arial"/>
          <w:color w:val="363636"/>
          <w:sz w:val="22"/>
          <w:szCs w:val="22"/>
        </w:rPr>
        <w:t xml:space="preserve">[10] "Sound Days-Sale bei Teufel" | https://www.connect.de/news/sound-days-sale-teufel | "Bis zu 47% Rabatt, CINEBAR PRO €799.99 (was €1,299.99)" — connect.de (2025)</w:t>
      </w:r>
    </w:p>
    <w:p>
      <w:pPr>
        <w:spacing w:before="60" w:after="120" w:line="276"/>
      </w:pPr>
      <w:r>
        <w:rPr>
          <w:rFonts w:ascii="Arial" w:cs="Arial" w:eastAsia="Arial" w:hAnsi="Arial"/>
          <w:color w:val="363636"/>
          <w:sz w:val="22"/>
          <w:szCs w:val="22"/>
        </w:rPr>
        <w:t xml:space="preserve">[11] "Kaufberatung: Soundbar — JBL, Teufel oder doch Sonos" | https://www.computerbase.de/forum/ | "DACH buyer concerns: DTS support, optical input, simulated surround, price-to-performance" — ComputerBase Forum</w:t>
      </w:r>
    </w:p>
    <w:p>
      <w:pPr>
        <w:spacing w:before="60" w:after="120" w:line="276"/>
      </w:pPr>
      <w:r>
        <w:rPr>
          <w:rFonts w:ascii="Arial" w:cs="Arial" w:eastAsia="Arial" w:hAnsi="Arial"/>
          <w:color w:val="363636"/>
          <w:sz w:val="22"/>
          <w:szCs w:val="22"/>
        </w:rPr>
        <w:t xml:space="preserve">[12] "Stiftung Warentest: Soundbar-Test" | https://www.test.de/Test-Soundbars-und-Soundplates-4931024-0/ | "Cinebar 11 GUT 2.4; Samsung HW-Q935GF Testsieger 2025" — Stiftung Warentest</w:t>
      </w:r>
    </w:p>
    <w:p>
      <w:pPr>
        <w:spacing w:before="60" w:after="120" w:line="276"/>
      </w:pPr>
      <w:r>
        <w:rPr>
          <w:rFonts w:ascii="Arial" w:cs="Arial" w:eastAsia="Arial" w:hAnsi="Arial"/>
          <w:color w:val="363636"/>
          <w:sz w:val="22"/>
          <w:szCs w:val="22"/>
        </w:rPr>
        <w:t xml:space="preserve">[13] "Teufel: Best sound for money" | https://www.kassenzone.de/teufel-best-sound-for-money/ | "DTC model rationale, store trust function, founded Berlin 1979, direct-to-consumer value prop" — Kassenzone</w:t>
      </w:r>
    </w:p>
    <w:p>
      <w:pPr>
        <w:spacing w:after="160"/>
      </w:pPr>
    </w:p>
    <w:p>
      <w:pPr>
        <w:spacing w:before="400"/>
        <w:jc w:val="center"/>
      </w:pPr>
      <w:r>
        <w:rPr>
          <w:rFonts w:ascii="Arial" w:cs="Arial" w:eastAsia="Arial" w:hAnsi="Arial"/>
          <w:color w:val="888888"/>
          <w:sz w:val="16"/>
          <w:szCs w:val="16"/>
        </w:rPr>
        <w:t xml:space="preserve">Prepared by Hannah Agent — Plan.Net Studios / Serviceplan Group | serviceplan-agents.com</w:t>
      </w:r>
    </w:p>
    <w:sectPr>
      <w:footerReference w:type="default" r:id="rId6"/>
      <w:pgSz w:w="12240" w:h="15840" w:orient="portrait"/>
      <w:pgMar w:top="1200" w:right="1200" w:bottom="1200" w:left="12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Arial" w:cs="Arial" w:eastAsia="Arial" w:hAnsi="Arial"/>
        <w:color w:val="888888"/>
        <w:sz w:val="16"/>
        <w:szCs w:val="16"/>
      </w:rPr>
      <w:t xml:space="preserve">serviceplan-agents.com  |  support@serviceplan-agents.com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600" w:hanging="360"/>
      </w:pPr>
    </w:lvl>
  </w:abstractNum>
  <w:abstractNum w:abstractNumId="3" w15:restartNumberingAfterBreak="0">
    <w:multiLevelType w:val="hybridMultilevel"/>
    <w:lvl w:ilvl="0" w15:tentative="1">
      <w:start w:val="1"/>
      <w:numFmt w:val="decimal"/>
      <w:lvlText w:val="%1."/>
      <w:lvlJc w:val="left"/>
      <w:pPr>
        <w:ind w:left="600" w:hanging="360"/>
      </w:pPr>
    </w:lvl>
  </w:abstractNum>
  <w:abstractNum w:abstractNumId="4" w15:restartNumberingAfterBreak="0">
    <w:multiLevelType w:val="hybridMultilevel"/>
    <w:lvl w:ilvl="0" w15:tentative="1">
      <w:start w:val="1"/>
      <w:numFmt w:val="upperLetter"/>
      <w:lvlText w:val="%1."/>
      <w:lvlJc w:val="left"/>
      <w:pPr>
        <w:ind w:left="60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363636"/>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paragraph" w:styleId="Heading1">
    <w:name w:val="Heading 1"/>
    <w:basedOn w:val="Normal"/>
    <w:next w:val="Normal"/>
    <w:qFormat/>
    <w:pPr>
      <w:spacing w:before="600" w:after="200"/>
      <w:outlineLvl w:val="0"/>
    </w:pPr>
    <w:rPr>
      <w:rFonts w:ascii="Arial Black" w:cs="Arial Black" w:eastAsia="Arial Black" w:hAnsi="Arial Black"/>
      <w:b/>
      <w:bCs/>
      <w:color w:val="0A4A4E"/>
      <w:sz w:val="36"/>
      <w:szCs w:val="36"/>
    </w:rPr>
  </w:style>
  <w:style w:type="paragraph" w:styleId="Heading2">
    <w:name w:val="Heading 2"/>
    <w:basedOn w:val="Normal"/>
    <w:next w:val="Normal"/>
    <w:qFormat/>
    <w:pPr>
      <w:spacing w:before="320" w:after="140"/>
      <w:outlineLvl w:val="1"/>
    </w:pPr>
    <w:rPr>
      <w:rFonts w:ascii="Arial Black" w:cs="Arial Black" w:eastAsia="Arial Black" w:hAnsi="Arial Black"/>
      <w:b/>
      <w:bCs/>
      <w:color w:val="1A1A1A"/>
      <w:sz w:val="28"/>
      <w:szCs w:val="28"/>
    </w:rPr>
  </w:style>
  <w:style w:type="paragraph" w:styleId="Heading3">
    <w:name w:val="Heading 3"/>
    <w:basedOn w:val="Normal"/>
    <w:next w:val="Normal"/>
    <w:qFormat/>
    <w:pPr>
      <w:spacing w:before="240" w:after="100"/>
      <w:outlineLvl w:val="2"/>
    </w:pPr>
    <w:rPr>
      <w:rFonts w:ascii="Arial" w:cs="Arial" w:eastAsia="Arial" w:hAnsi="Arial"/>
      <w:b/>
      <w:bCs/>
      <w:color w:val="0F6B72"/>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oter" Target="footer1.xml"/><Relationship Id="rId7" Type="http://schemas.openxmlformats.org/officeDocument/2006/relationships/fontTable" Target="fontTable.xml"/></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Teufel Soundbar — Landing Page Brief</dc:title>
  <dc:creator>Hannah Agent</dc:creator>
  <dc:description>Seasonal Promotion Campaign (DACH Market)</dc:description>
  <cp:lastModifiedBy>Un-named</cp:lastModifiedBy>
  <cp:revision>1</cp:revision>
  <dcterms:created xsi:type="dcterms:W3CDTF">2026-06-24T16:04:52.939Z</dcterms:created>
  <dcterms:modified xsi:type="dcterms:W3CDTF">2026-06-24T16:04:52.939Z</dcterms:modified>
</cp:coreProperties>
</file>

<file path=docProps/custom.xml><?xml version="1.0" encoding="utf-8"?>
<Properties xmlns="http://schemas.openxmlformats.org/officeDocument/2006/custom-properties" xmlns:vt="http://schemas.openxmlformats.org/officeDocument/2006/docPropsVTypes"/>
</file>